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C1D63">
      <w:pPr>
        <w:spacing w:line="360" w:lineRule="auto"/>
        <w:ind w:firstLine="160"/>
        <w:outlineLvl w:val="9"/>
        <w:rPr>
          <w:rFonts w:hint="eastAsia" w:ascii="CESI黑体-GB2312" w:hAnsi="CESI黑体-GB2312" w:eastAsia="CESI黑体-GB2312" w:cs="CESI黑体-GB2312"/>
          <w:color w:val="auto"/>
          <w:sz w:val="32"/>
          <w:szCs w:val="32"/>
          <w:highlight w:val="none"/>
        </w:rPr>
      </w:pPr>
      <w:bookmarkStart w:id="660" w:name="_GoBack"/>
      <w:r>
        <w:rPr>
          <w:rFonts w:hint="eastAsia" w:ascii="CESI黑体-GB2312" w:hAnsi="CESI黑体-GB2312" w:eastAsia="CESI黑体-GB2312" w:cs="CESI黑体-GB2312"/>
          <w:color w:val="auto"/>
          <w:sz w:val="32"/>
          <w:szCs w:val="32"/>
          <w:highlight w:val="none"/>
        </w:rPr>
        <w:t xml:space="preserve"> </w:t>
      </w:r>
    </w:p>
    <w:p w14:paraId="2F140A7B">
      <w:pPr>
        <w:spacing w:line="360" w:lineRule="auto"/>
        <w:ind w:firstLine="300"/>
        <w:outlineLvl w:val="9"/>
        <w:rPr>
          <w:color w:val="auto"/>
          <w:sz w:val="60"/>
          <w:szCs w:val="60"/>
          <w:highlight w:val="none"/>
        </w:rPr>
      </w:pPr>
    </w:p>
    <w:p w14:paraId="573F193B">
      <w:pPr>
        <w:jc w:val="center"/>
        <w:outlineLvl w:val="9"/>
        <w:rPr>
          <w:rFonts w:hint="eastAsia" w:eastAsia="宋体"/>
          <w:b/>
          <w:bCs/>
          <w:color w:val="auto"/>
          <w:sz w:val="60"/>
          <w:szCs w:val="60"/>
          <w:highlight w:val="none"/>
          <w:lang w:eastAsia="zh-CN"/>
        </w:rPr>
      </w:pPr>
      <w:r>
        <w:rPr>
          <w:rFonts w:hint="eastAsia"/>
          <w:b/>
          <w:bCs/>
          <w:color w:val="auto"/>
          <w:sz w:val="60"/>
          <w:szCs w:val="60"/>
          <w:highlight w:val="none"/>
          <w:lang w:eastAsia="zh-CN"/>
        </w:rPr>
        <w:t>2026年-2028年南大街街道食堂食材配送服务项目</w:t>
      </w:r>
    </w:p>
    <w:p w14:paraId="0C62ABD3">
      <w:pPr>
        <w:jc w:val="center"/>
        <w:outlineLvl w:val="9"/>
        <w:rPr>
          <w:b/>
          <w:bCs/>
          <w:color w:val="auto"/>
          <w:sz w:val="60"/>
          <w:szCs w:val="60"/>
          <w:highlight w:val="none"/>
        </w:rPr>
      </w:pPr>
      <w:r>
        <w:rPr>
          <w:b/>
          <w:bCs/>
          <w:color w:val="auto"/>
          <w:sz w:val="60"/>
          <w:szCs w:val="60"/>
          <w:highlight w:val="none"/>
        </w:rPr>
        <w:t>竞争性磋商文件</w:t>
      </w:r>
    </w:p>
    <w:p w14:paraId="32261ECC">
      <w:pPr>
        <w:spacing w:line="360" w:lineRule="auto"/>
        <w:jc w:val="center"/>
        <w:outlineLvl w:val="9"/>
        <w:rPr>
          <w:rFonts w:ascii="宋体" w:hAnsi="宋体"/>
          <w:b/>
          <w:bCs/>
          <w:color w:val="auto"/>
          <w:sz w:val="60"/>
          <w:szCs w:val="60"/>
          <w:highlight w:val="none"/>
        </w:rPr>
      </w:pPr>
    </w:p>
    <w:p w14:paraId="23775D78">
      <w:pPr>
        <w:spacing w:line="360" w:lineRule="auto"/>
        <w:jc w:val="center"/>
        <w:outlineLvl w:val="9"/>
        <w:rPr>
          <w:rFonts w:ascii="宋体" w:hAnsi="宋体"/>
          <w:b/>
          <w:bCs/>
          <w:color w:val="auto"/>
          <w:sz w:val="60"/>
          <w:szCs w:val="60"/>
          <w:highlight w:val="none"/>
        </w:rPr>
      </w:pPr>
    </w:p>
    <w:p w14:paraId="6C1D0F0A">
      <w:pPr>
        <w:tabs>
          <w:tab w:val="left" w:pos="5609"/>
        </w:tabs>
        <w:spacing w:line="360" w:lineRule="auto"/>
        <w:ind w:left="2832" w:hanging="1900"/>
        <w:jc w:val="left"/>
        <w:outlineLvl w:val="9"/>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2026年-2028年南大街街道食堂食材配送服务项目</w:t>
      </w:r>
    </w:p>
    <w:p w14:paraId="5A9807E6">
      <w:pPr>
        <w:tabs>
          <w:tab w:val="left" w:pos="3240"/>
          <w:tab w:val="left" w:pos="3420"/>
        </w:tabs>
        <w:spacing w:line="360" w:lineRule="auto"/>
        <w:ind w:left="2832" w:hanging="1900"/>
        <w:jc w:val="left"/>
        <w:outlineLvl w:val="9"/>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JSZC-320404006-SYZB-C2026-0033</w:t>
      </w:r>
    </w:p>
    <w:p w14:paraId="015C25E2">
      <w:pPr>
        <w:tabs>
          <w:tab w:val="left" w:pos="3240"/>
          <w:tab w:val="left" w:pos="3420"/>
        </w:tabs>
        <w:spacing w:line="360" w:lineRule="auto"/>
        <w:ind w:left="2832" w:hanging="1900"/>
        <w:jc w:val="left"/>
        <w:outlineLvl w:val="9"/>
        <w:rPr>
          <w:rFonts w:hint="eastAsia" w:eastAsia="宋体"/>
          <w:bCs/>
          <w:color w:val="auto"/>
          <w:sz w:val="36"/>
          <w:szCs w:val="36"/>
          <w:highlight w:val="none"/>
          <w:lang w:val="en-US" w:eastAsia="zh-CN"/>
        </w:rPr>
      </w:pPr>
      <w:r>
        <w:rPr>
          <w:bCs/>
          <w:color w:val="auto"/>
          <w:sz w:val="36"/>
          <w:szCs w:val="36"/>
          <w:highlight w:val="none"/>
        </w:rPr>
        <w:t>采 购 人：</w:t>
      </w:r>
      <w:r>
        <w:rPr>
          <w:rFonts w:hint="eastAsia"/>
          <w:bCs/>
          <w:color w:val="auto"/>
          <w:sz w:val="36"/>
          <w:szCs w:val="36"/>
          <w:highlight w:val="none"/>
          <w:lang w:val="en-US" w:eastAsia="zh-CN"/>
        </w:rPr>
        <w:t>常州市钟楼区南大街街道办事处</w:t>
      </w:r>
    </w:p>
    <w:p w14:paraId="3E6D32E5">
      <w:pPr>
        <w:tabs>
          <w:tab w:val="left" w:pos="3240"/>
          <w:tab w:val="left" w:pos="3420"/>
        </w:tabs>
        <w:spacing w:line="360" w:lineRule="auto"/>
        <w:ind w:left="2832" w:hanging="1900"/>
        <w:jc w:val="left"/>
        <w:outlineLvl w:val="9"/>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249501B2">
      <w:pPr>
        <w:spacing w:before="100" w:after="240" w:line="500" w:lineRule="exact"/>
        <w:jc w:val="center"/>
        <w:outlineLvl w:val="9"/>
        <w:rPr>
          <w:b/>
          <w:bCs/>
          <w:color w:val="auto"/>
          <w:sz w:val="44"/>
          <w:highlight w:val="none"/>
        </w:rPr>
      </w:pPr>
      <w:r>
        <w:rPr>
          <w:b/>
          <w:bCs/>
          <w:color w:val="auto"/>
          <w:sz w:val="44"/>
          <w:highlight w:val="none"/>
        </w:rPr>
        <w:br w:type="page" w:clear="all"/>
      </w:r>
      <w:bookmarkStart w:id="0" w:name="_Toc104818924"/>
    </w:p>
    <w:p w14:paraId="27EB9DD5">
      <w:pPr>
        <w:spacing w:before="100" w:after="240" w:line="500" w:lineRule="exact"/>
        <w:jc w:val="center"/>
        <w:outlineLvl w:val="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bookmarkEnd w:id="0"/>
    </w:p>
    <w:p w14:paraId="3E70C9F3">
      <w:pPr>
        <w:keepNext w:val="0"/>
        <w:keepLines w:val="0"/>
        <w:pageBreakBefore w:val="0"/>
        <w:widowControl w:val="0"/>
        <w:spacing w:line="360" w:lineRule="auto"/>
        <w:outlineLvl w:val="9"/>
        <w:rPr>
          <w:rStyle w:val="268"/>
          <w:rFonts w:hint="eastAsia" w:ascii="宋体" w:hAnsi="宋体" w:eastAsia="宋体" w:cs="宋体"/>
          <w:b/>
          <w:color w:val="auto"/>
          <w:sz w:val="32"/>
          <w:szCs w:val="32"/>
          <w:highlight w:val="none"/>
          <w:u w:val="none"/>
          <w:lang w:val="en-US" w:eastAsia="zh-CN" w:bidi="ar-SA"/>
        </w:rPr>
      </w:pPr>
    </w:p>
    <w:p w14:paraId="7C410A95">
      <w:pPr>
        <w:pStyle w:val="25"/>
        <w:tabs>
          <w:tab w:val="right" w:leader="dot" w:pos="9072"/>
        </w:tabs>
        <w:rPr>
          <w:rStyle w:val="268"/>
          <w:rFonts w:hint="eastAsia" w:ascii="宋体" w:hAnsi="宋体" w:eastAsia="宋体" w:cs="宋体"/>
          <w:b/>
          <w:color w:val="auto"/>
          <w:sz w:val="32"/>
          <w:szCs w:val="32"/>
          <w:highlight w:val="none"/>
          <w:u w:val="none"/>
          <w:lang w:val="en-US" w:eastAsia="zh-CN" w:bidi="ar-SA"/>
        </w:rPr>
      </w:pP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TOC \o "1-1" \h \u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HYPERLINK \l _Toc13300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第一章   采购邀请</w:t>
      </w:r>
      <w:r>
        <w:rPr>
          <w:rStyle w:val="268"/>
          <w:rFonts w:hint="eastAsia" w:ascii="宋体" w:hAnsi="宋体" w:eastAsia="宋体" w:cs="宋体"/>
          <w:b/>
          <w:color w:val="auto"/>
          <w:sz w:val="32"/>
          <w:szCs w:val="32"/>
          <w:highlight w:val="none"/>
          <w:u w:val="none"/>
          <w:lang w:val="en-US" w:eastAsia="zh-CN" w:bidi="ar-SA"/>
        </w:rPr>
        <w:tab/>
      </w: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PAGEREF _Toc13300 \h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1</w:t>
      </w:r>
      <w:r>
        <w:rPr>
          <w:rStyle w:val="268"/>
          <w:rFonts w:hint="eastAsia" w:ascii="宋体" w:hAnsi="宋体" w:eastAsia="宋体" w:cs="宋体"/>
          <w:b/>
          <w:color w:val="auto"/>
          <w:sz w:val="32"/>
          <w:szCs w:val="32"/>
          <w:highlight w:val="none"/>
          <w:u w:val="none"/>
          <w:lang w:val="en-US" w:eastAsia="zh-CN" w:bidi="ar-SA"/>
        </w:rPr>
        <w:fldChar w:fldCharType="end"/>
      </w:r>
      <w:r>
        <w:rPr>
          <w:rStyle w:val="268"/>
          <w:rFonts w:hint="eastAsia" w:ascii="宋体" w:hAnsi="宋体" w:eastAsia="宋体" w:cs="宋体"/>
          <w:b/>
          <w:color w:val="auto"/>
          <w:sz w:val="32"/>
          <w:szCs w:val="32"/>
          <w:highlight w:val="none"/>
          <w:u w:val="none"/>
          <w:lang w:val="en-US" w:eastAsia="zh-CN" w:bidi="ar-SA"/>
        </w:rPr>
        <w:fldChar w:fldCharType="end"/>
      </w:r>
    </w:p>
    <w:p w14:paraId="0831170C">
      <w:pPr>
        <w:pStyle w:val="25"/>
        <w:tabs>
          <w:tab w:val="right" w:leader="dot" w:pos="9072"/>
        </w:tabs>
        <w:rPr>
          <w:rStyle w:val="268"/>
          <w:rFonts w:hint="eastAsia" w:ascii="宋体" w:hAnsi="宋体" w:eastAsia="宋体" w:cs="宋体"/>
          <w:b/>
          <w:color w:val="auto"/>
          <w:sz w:val="32"/>
          <w:szCs w:val="32"/>
          <w:highlight w:val="none"/>
          <w:u w:val="none"/>
          <w:lang w:val="en-US" w:eastAsia="zh-CN" w:bidi="ar-SA"/>
        </w:rPr>
      </w:pP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HYPERLINK \l _Toc2237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第二章   供应商须知</w:t>
      </w:r>
      <w:r>
        <w:rPr>
          <w:rStyle w:val="268"/>
          <w:rFonts w:hint="eastAsia" w:ascii="宋体" w:hAnsi="宋体" w:eastAsia="宋体" w:cs="宋体"/>
          <w:b/>
          <w:color w:val="auto"/>
          <w:sz w:val="32"/>
          <w:szCs w:val="32"/>
          <w:highlight w:val="none"/>
          <w:u w:val="none"/>
          <w:lang w:val="en-US" w:eastAsia="zh-CN" w:bidi="ar-SA"/>
        </w:rPr>
        <w:tab/>
      </w: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PAGEREF _Toc2237 \h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5</w:t>
      </w:r>
      <w:r>
        <w:rPr>
          <w:rStyle w:val="268"/>
          <w:rFonts w:hint="eastAsia" w:ascii="宋体" w:hAnsi="宋体" w:eastAsia="宋体" w:cs="宋体"/>
          <w:b/>
          <w:color w:val="auto"/>
          <w:sz w:val="32"/>
          <w:szCs w:val="32"/>
          <w:highlight w:val="none"/>
          <w:u w:val="none"/>
          <w:lang w:val="en-US" w:eastAsia="zh-CN" w:bidi="ar-SA"/>
        </w:rPr>
        <w:fldChar w:fldCharType="end"/>
      </w:r>
      <w:r>
        <w:rPr>
          <w:rStyle w:val="268"/>
          <w:rFonts w:hint="eastAsia" w:ascii="宋体" w:hAnsi="宋体" w:eastAsia="宋体" w:cs="宋体"/>
          <w:b/>
          <w:color w:val="auto"/>
          <w:sz w:val="32"/>
          <w:szCs w:val="32"/>
          <w:highlight w:val="none"/>
          <w:u w:val="none"/>
          <w:lang w:val="en-US" w:eastAsia="zh-CN" w:bidi="ar-SA"/>
        </w:rPr>
        <w:fldChar w:fldCharType="end"/>
      </w:r>
    </w:p>
    <w:p w14:paraId="709366CF">
      <w:pPr>
        <w:pStyle w:val="25"/>
        <w:tabs>
          <w:tab w:val="right" w:leader="dot" w:pos="9072"/>
        </w:tabs>
        <w:rPr>
          <w:rStyle w:val="268"/>
          <w:rFonts w:hint="default" w:ascii="宋体" w:hAnsi="宋体" w:eastAsia="宋体" w:cs="宋体"/>
          <w:b/>
          <w:color w:val="auto"/>
          <w:sz w:val="32"/>
          <w:szCs w:val="32"/>
          <w:highlight w:val="none"/>
          <w:u w:val="none"/>
          <w:lang w:val="en-US" w:eastAsia="zh-CN" w:bidi="ar-SA"/>
        </w:rPr>
      </w:pP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HYPERLINK \l _Toc17685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第三章   评审程序、评审方法和评审标准</w:t>
      </w:r>
      <w:r>
        <w:rPr>
          <w:rStyle w:val="268"/>
          <w:rFonts w:hint="eastAsia" w:ascii="宋体" w:hAnsi="宋体" w:eastAsia="宋体" w:cs="宋体"/>
          <w:b/>
          <w:color w:val="auto"/>
          <w:sz w:val="32"/>
          <w:szCs w:val="32"/>
          <w:highlight w:val="none"/>
          <w:u w:val="none"/>
          <w:lang w:val="en-US" w:eastAsia="zh-CN" w:bidi="ar-SA"/>
        </w:rPr>
        <w:tab/>
      </w:r>
      <w:r>
        <w:rPr>
          <w:rStyle w:val="268"/>
          <w:rFonts w:hint="eastAsia" w:ascii="宋体" w:hAnsi="宋体" w:cs="宋体"/>
          <w:b/>
          <w:color w:val="auto"/>
          <w:sz w:val="32"/>
          <w:szCs w:val="32"/>
          <w:highlight w:val="none"/>
          <w:u w:val="none"/>
          <w:lang w:val="en-US" w:eastAsia="zh-CN" w:bidi="ar-SA"/>
        </w:rPr>
        <w:t>2</w:t>
      </w:r>
      <w:r>
        <w:rPr>
          <w:rStyle w:val="268"/>
          <w:rFonts w:hint="eastAsia" w:ascii="宋体" w:hAnsi="宋体" w:eastAsia="宋体" w:cs="宋体"/>
          <w:b/>
          <w:color w:val="auto"/>
          <w:sz w:val="32"/>
          <w:szCs w:val="32"/>
          <w:highlight w:val="none"/>
          <w:u w:val="none"/>
          <w:lang w:val="en-US" w:eastAsia="zh-CN" w:bidi="ar-SA"/>
        </w:rPr>
        <w:fldChar w:fldCharType="end"/>
      </w:r>
      <w:r>
        <w:rPr>
          <w:rStyle w:val="268"/>
          <w:rFonts w:hint="eastAsia" w:ascii="宋体" w:hAnsi="宋体" w:cs="宋体"/>
          <w:b/>
          <w:color w:val="auto"/>
          <w:sz w:val="32"/>
          <w:szCs w:val="32"/>
          <w:highlight w:val="none"/>
          <w:u w:val="none"/>
          <w:lang w:val="en-US" w:eastAsia="zh-CN" w:bidi="ar-SA"/>
        </w:rPr>
        <w:t>2</w:t>
      </w:r>
    </w:p>
    <w:p w14:paraId="0EB03D6A">
      <w:pPr>
        <w:pStyle w:val="25"/>
        <w:tabs>
          <w:tab w:val="right" w:leader="dot" w:pos="9072"/>
        </w:tabs>
        <w:rPr>
          <w:rStyle w:val="268"/>
          <w:rFonts w:hint="default" w:ascii="宋体" w:hAnsi="宋体" w:eastAsia="宋体" w:cs="宋体"/>
          <w:b/>
          <w:color w:val="auto"/>
          <w:sz w:val="32"/>
          <w:szCs w:val="32"/>
          <w:highlight w:val="none"/>
          <w:u w:val="none"/>
          <w:lang w:val="en-US" w:eastAsia="zh-CN" w:bidi="ar-SA"/>
        </w:rPr>
      </w:pP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HYPERLINK \l _Toc20962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第四章   采购需求</w:t>
      </w:r>
      <w:r>
        <w:rPr>
          <w:rStyle w:val="268"/>
          <w:rFonts w:hint="eastAsia" w:ascii="宋体" w:hAnsi="宋体" w:eastAsia="宋体" w:cs="宋体"/>
          <w:b/>
          <w:color w:val="auto"/>
          <w:sz w:val="32"/>
          <w:szCs w:val="32"/>
          <w:highlight w:val="none"/>
          <w:u w:val="none"/>
          <w:lang w:val="en-US" w:eastAsia="zh-CN" w:bidi="ar-SA"/>
        </w:rPr>
        <w:tab/>
      </w:r>
      <w:r>
        <w:rPr>
          <w:rStyle w:val="268"/>
          <w:rFonts w:hint="eastAsia" w:ascii="宋体" w:hAnsi="宋体" w:cs="宋体"/>
          <w:b/>
          <w:color w:val="auto"/>
          <w:sz w:val="32"/>
          <w:szCs w:val="32"/>
          <w:highlight w:val="none"/>
          <w:u w:val="none"/>
          <w:lang w:val="en-US" w:eastAsia="zh-CN" w:bidi="ar-SA"/>
        </w:rPr>
        <w:t>3</w:t>
      </w:r>
      <w:r>
        <w:rPr>
          <w:rStyle w:val="268"/>
          <w:rFonts w:hint="eastAsia" w:ascii="宋体" w:hAnsi="宋体" w:eastAsia="宋体" w:cs="宋体"/>
          <w:b/>
          <w:color w:val="auto"/>
          <w:sz w:val="32"/>
          <w:szCs w:val="32"/>
          <w:highlight w:val="none"/>
          <w:u w:val="none"/>
          <w:lang w:val="en-US" w:eastAsia="zh-CN" w:bidi="ar-SA"/>
        </w:rPr>
        <w:fldChar w:fldCharType="end"/>
      </w:r>
      <w:r>
        <w:rPr>
          <w:rStyle w:val="268"/>
          <w:rFonts w:hint="eastAsia" w:ascii="宋体" w:hAnsi="宋体" w:cs="宋体"/>
          <w:b/>
          <w:color w:val="auto"/>
          <w:sz w:val="32"/>
          <w:szCs w:val="32"/>
          <w:highlight w:val="none"/>
          <w:u w:val="none"/>
          <w:lang w:val="en-US" w:eastAsia="zh-CN" w:bidi="ar-SA"/>
        </w:rPr>
        <w:t>5</w:t>
      </w:r>
    </w:p>
    <w:p w14:paraId="3948FBA2">
      <w:pPr>
        <w:pStyle w:val="25"/>
        <w:tabs>
          <w:tab w:val="right" w:leader="dot" w:pos="9072"/>
        </w:tabs>
        <w:rPr>
          <w:rStyle w:val="268"/>
          <w:rFonts w:hint="default" w:ascii="宋体" w:hAnsi="宋体" w:eastAsia="宋体" w:cs="宋体"/>
          <w:b/>
          <w:color w:val="auto"/>
          <w:sz w:val="32"/>
          <w:szCs w:val="32"/>
          <w:highlight w:val="none"/>
          <w:u w:val="none"/>
          <w:lang w:val="en-US" w:eastAsia="zh-CN" w:bidi="ar-SA"/>
        </w:rPr>
      </w:pP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HYPERLINK \l _Toc20525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第五章   合同草案条款</w:t>
      </w:r>
      <w:r>
        <w:rPr>
          <w:rStyle w:val="268"/>
          <w:rFonts w:hint="eastAsia" w:ascii="宋体" w:hAnsi="宋体" w:eastAsia="宋体" w:cs="宋体"/>
          <w:b/>
          <w:color w:val="auto"/>
          <w:sz w:val="32"/>
          <w:szCs w:val="32"/>
          <w:highlight w:val="none"/>
          <w:u w:val="none"/>
          <w:lang w:val="en-US" w:eastAsia="zh-CN" w:bidi="ar-SA"/>
        </w:rPr>
        <w:tab/>
      </w:r>
      <w:r>
        <w:rPr>
          <w:rStyle w:val="268"/>
          <w:rFonts w:hint="eastAsia" w:ascii="宋体" w:hAnsi="宋体" w:cs="宋体"/>
          <w:b/>
          <w:color w:val="auto"/>
          <w:sz w:val="32"/>
          <w:szCs w:val="32"/>
          <w:highlight w:val="none"/>
          <w:u w:val="none"/>
          <w:lang w:val="en-US" w:eastAsia="zh-CN" w:bidi="ar-SA"/>
        </w:rPr>
        <w:t>3</w:t>
      </w:r>
      <w:r>
        <w:rPr>
          <w:rStyle w:val="268"/>
          <w:rFonts w:hint="eastAsia" w:ascii="宋体" w:hAnsi="宋体" w:eastAsia="宋体" w:cs="宋体"/>
          <w:b/>
          <w:color w:val="auto"/>
          <w:sz w:val="32"/>
          <w:szCs w:val="32"/>
          <w:highlight w:val="none"/>
          <w:u w:val="none"/>
          <w:lang w:val="en-US" w:eastAsia="zh-CN" w:bidi="ar-SA"/>
        </w:rPr>
        <w:fldChar w:fldCharType="end"/>
      </w:r>
      <w:r>
        <w:rPr>
          <w:rStyle w:val="268"/>
          <w:rFonts w:hint="eastAsia" w:ascii="宋体" w:hAnsi="宋体" w:cs="宋体"/>
          <w:b/>
          <w:color w:val="auto"/>
          <w:sz w:val="32"/>
          <w:szCs w:val="32"/>
          <w:highlight w:val="none"/>
          <w:u w:val="none"/>
          <w:lang w:val="en-US" w:eastAsia="zh-CN" w:bidi="ar-SA"/>
        </w:rPr>
        <w:t>8</w:t>
      </w:r>
    </w:p>
    <w:p w14:paraId="3033824E">
      <w:pPr>
        <w:pStyle w:val="25"/>
        <w:tabs>
          <w:tab w:val="right" w:leader="dot" w:pos="9072"/>
        </w:tabs>
        <w:rPr>
          <w:rStyle w:val="268"/>
          <w:rFonts w:hint="default" w:ascii="宋体" w:hAnsi="宋体" w:eastAsia="宋体" w:cs="宋体"/>
          <w:b/>
          <w:color w:val="auto"/>
          <w:sz w:val="32"/>
          <w:szCs w:val="32"/>
          <w:highlight w:val="none"/>
          <w:u w:val="none"/>
          <w:lang w:val="en-US" w:eastAsia="zh-CN" w:bidi="ar-SA"/>
        </w:rPr>
      </w:pPr>
      <w:r>
        <w:rPr>
          <w:rStyle w:val="268"/>
          <w:rFonts w:hint="eastAsia" w:ascii="宋体" w:hAnsi="宋体" w:eastAsia="宋体" w:cs="宋体"/>
          <w:b/>
          <w:color w:val="auto"/>
          <w:sz w:val="32"/>
          <w:szCs w:val="32"/>
          <w:highlight w:val="none"/>
          <w:u w:val="none"/>
          <w:lang w:val="en-US" w:eastAsia="zh-CN" w:bidi="ar-SA"/>
        </w:rPr>
        <w:fldChar w:fldCharType="begin"/>
      </w:r>
      <w:r>
        <w:rPr>
          <w:rStyle w:val="268"/>
          <w:rFonts w:hint="eastAsia" w:ascii="宋体" w:hAnsi="宋体" w:eastAsia="宋体" w:cs="宋体"/>
          <w:b/>
          <w:color w:val="auto"/>
          <w:sz w:val="32"/>
          <w:szCs w:val="32"/>
          <w:highlight w:val="none"/>
          <w:u w:val="none"/>
          <w:lang w:val="en-US" w:eastAsia="zh-CN" w:bidi="ar-SA"/>
        </w:rPr>
        <w:instrText xml:space="preserve"> HYPERLINK \l _Toc26791 </w:instrText>
      </w:r>
      <w:r>
        <w:rPr>
          <w:rStyle w:val="268"/>
          <w:rFonts w:hint="eastAsia" w:ascii="宋体" w:hAnsi="宋体" w:eastAsia="宋体" w:cs="宋体"/>
          <w:b/>
          <w:color w:val="auto"/>
          <w:sz w:val="32"/>
          <w:szCs w:val="32"/>
          <w:highlight w:val="none"/>
          <w:u w:val="none"/>
          <w:lang w:val="en-US" w:eastAsia="zh-CN" w:bidi="ar-SA"/>
        </w:rPr>
        <w:fldChar w:fldCharType="separate"/>
      </w:r>
      <w:r>
        <w:rPr>
          <w:rStyle w:val="268"/>
          <w:rFonts w:hint="eastAsia" w:ascii="宋体" w:hAnsi="宋体" w:eastAsia="宋体" w:cs="宋体"/>
          <w:b/>
          <w:color w:val="auto"/>
          <w:sz w:val="32"/>
          <w:szCs w:val="32"/>
          <w:highlight w:val="none"/>
          <w:u w:val="none"/>
          <w:lang w:val="en-US" w:eastAsia="zh-CN" w:bidi="ar-SA"/>
        </w:rPr>
        <w:t>第六章   响应文件格式</w:t>
      </w:r>
      <w:r>
        <w:rPr>
          <w:rStyle w:val="268"/>
          <w:rFonts w:hint="eastAsia" w:ascii="宋体" w:hAnsi="宋体" w:eastAsia="宋体" w:cs="宋体"/>
          <w:b/>
          <w:color w:val="auto"/>
          <w:sz w:val="32"/>
          <w:szCs w:val="32"/>
          <w:highlight w:val="none"/>
          <w:u w:val="none"/>
          <w:lang w:val="en-US" w:eastAsia="zh-CN" w:bidi="ar-SA"/>
        </w:rPr>
        <w:tab/>
      </w:r>
      <w:r>
        <w:rPr>
          <w:rStyle w:val="268"/>
          <w:rFonts w:hint="eastAsia" w:ascii="宋体" w:hAnsi="宋体" w:cs="宋体"/>
          <w:b/>
          <w:color w:val="auto"/>
          <w:sz w:val="32"/>
          <w:szCs w:val="32"/>
          <w:highlight w:val="none"/>
          <w:u w:val="none"/>
          <w:lang w:val="en-US" w:eastAsia="zh-CN" w:bidi="ar-SA"/>
        </w:rPr>
        <w:t>4</w:t>
      </w:r>
      <w:r>
        <w:rPr>
          <w:rStyle w:val="268"/>
          <w:rFonts w:hint="eastAsia" w:ascii="宋体" w:hAnsi="宋体" w:eastAsia="宋体" w:cs="宋体"/>
          <w:b/>
          <w:color w:val="auto"/>
          <w:sz w:val="32"/>
          <w:szCs w:val="32"/>
          <w:highlight w:val="none"/>
          <w:u w:val="none"/>
          <w:lang w:val="en-US" w:eastAsia="zh-CN" w:bidi="ar-SA"/>
        </w:rPr>
        <w:fldChar w:fldCharType="end"/>
      </w:r>
      <w:r>
        <w:rPr>
          <w:rStyle w:val="268"/>
          <w:rFonts w:hint="eastAsia" w:ascii="宋体" w:hAnsi="宋体" w:cs="宋体"/>
          <w:b/>
          <w:color w:val="auto"/>
          <w:sz w:val="32"/>
          <w:szCs w:val="32"/>
          <w:highlight w:val="none"/>
          <w:u w:val="none"/>
          <w:lang w:val="en-US" w:eastAsia="zh-CN" w:bidi="ar-SA"/>
        </w:rPr>
        <w:t>2</w:t>
      </w:r>
    </w:p>
    <w:p w14:paraId="3FEB8B88">
      <w:pPr>
        <w:pStyle w:val="243"/>
        <w:keepNext w:val="0"/>
        <w:keepLines w:val="0"/>
        <w:pageBreakBefore w:val="0"/>
        <w:widowControl w:val="0"/>
        <w:spacing w:line="360" w:lineRule="auto"/>
        <w:outlineLvl w:val="9"/>
        <w:rPr>
          <w:rFonts w:hint="eastAsia" w:ascii="宋体" w:hAnsi="宋体" w:eastAsia="宋体" w:cs="宋体"/>
          <w:b w:val="0"/>
          <w:color w:val="auto"/>
          <w:sz w:val="32"/>
          <w:szCs w:val="32"/>
          <w:highlight w:val="none"/>
        </w:rPr>
      </w:pPr>
      <w:r>
        <w:rPr>
          <w:rStyle w:val="268"/>
          <w:rFonts w:hint="eastAsia" w:ascii="宋体" w:hAnsi="宋体" w:eastAsia="宋体" w:cs="宋体"/>
          <w:b/>
          <w:color w:val="auto"/>
          <w:sz w:val="32"/>
          <w:szCs w:val="32"/>
          <w:highlight w:val="none"/>
          <w:u w:val="none"/>
          <w:lang w:val="en-US" w:eastAsia="zh-CN" w:bidi="ar-SA"/>
        </w:rPr>
        <w:fldChar w:fldCharType="end"/>
      </w:r>
    </w:p>
    <w:p w14:paraId="102BD64C">
      <w:pPr>
        <w:pStyle w:val="243"/>
        <w:keepNext w:val="0"/>
        <w:keepLines w:val="0"/>
        <w:pageBreakBefore w:val="0"/>
        <w:widowControl w:val="0"/>
        <w:spacing w:line="360" w:lineRule="auto"/>
        <w:outlineLvl w:val="9"/>
        <w:rPr>
          <w:rFonts w:hint="eastAsia" w:ascii="宋体" w:hAnsi="宋体" w:eastAsia="宋体" w:cs="宋体"/>
          <w:b w:val="0"/>
          <w:color w:val="auto"/>
          <w:sz w:val="32"/>
          <w:szCs w:val="32"/>
          <w:highlight w:val="none"/>
        </w:rPr>
      </w:pPr>
    </w:p>
    <w:p w14:paraId="75BF2F16">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r>
        <w:rPr>
          <w:rFonts w:hint="eastAsia" w:ascii="宋体" w:hAnsi="宋体" w:eastAsia="宋体" w:cs="宋体"/>
          <w:b/>
          <w:color w:val="auto"/>
          <w:sz w:val="32"/>
          <w:szCs w:val="32"/>
          <w:highlight w:val="none"/>
        </w:rPr>
        <w:br w:type="page" w:clear="all"/>
      </w:r>
    </w:p>
    <w:p w14:paraId="25CDE599">
      <w:pPr>
        <w:spacing w:line="360" w:lineRule="auto"/>
        <w:jc w:val="center"/>
        <w:outlineLvl w:val="0"/>
        <w:rPr>
          <w:b/>
          <w:color w:val="auto"/>
          <w:sz w:val="36"/>
          <w:szCs w:val="36"/>
          <w:highlight w:val="none"/>
        </w:rPr>
      </w:pPr>
      <w:bookmarkStart w:id="1" w:name="_Toc104818925"/>
      <w:bookmarkStart w:id="2" w:name="_Toc13300"/>
      <w:r>
        <w:rPr>
          <w:b/>
          <w:color w:val="auto"/>
          <w:sz w:val="36"/>
          <w:szCs w:val="36"/>
          <w:highlight w:val="none"/>
        </w:rPr>
        <w:t>第一章   采购邀请</w:t>
      </w:r>
      <w:bookmarkEnd w:id="1"/>
      <w:bookmarkEnd w:id="2"/>
      <w:bookmarkStart w:id="3" w:name="_Toc35393621"/>
      <w:bookmarkStart w:id="4" w:name="_Toc28359002"/>
      <w:bookmarkStart w:id="5" w:name="_Toc28359079"/>
      <w:bookmarkStart w:id="6" w:name="_Toc35393790"/>
      <w:bookmarkStart w:id="7" w:name="_Hlk24379207"/>
    </w:p>
    <w:p w14:paraId="56B6238E">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一、项目基本情况</w:t>
      </w:r>
      <w:bookmarkEnd w:id="3"/>
      <w:bookmarkEnd w:id="4"/>
      <w:bookmarkEnd w:id="5"/>
      <w:bookmarkEnd w:id="6"/>
    </w:p>
    <w:p w14:paraId="5D5B6F1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JSZC-320404006-SYZB-C2026-0033</w:t>
      </w:r>
      <w:r>
        <w:rPr>
          <w:rFonts w:hint="eastAsia" w:ascii="宋体" w:hAnsi="宋体" w:eastAsia="宋体" w:cs="宋体"/>
          <w:color w:val="auto"/>
          <w:sz w:val="24"/>
          <w:szCs w:val="24"/>
          <w:highlight w:val="none"/>
          <w:u w:val="single"/>
          <w:lang w:val="en-US" w:eastAsia="zh-CN"/>
        </w:rPr>
        <w:t xml:space="preserve"> </w:t>
      </w:r>
    </w:p>
    <w:p w14:paraId="665BDD93">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2026年-2028年南大街街道食堂食材配送服务项目</w:t>
      </w:r>
      <w:r>
        <w:rPr>
          <w:rFonts w:hint="eastAsia" w:ascii="宋体" w:hAnsi="宋体" w:eastAsia="宋体" w:cs="宋体"/>
          <w:color w:val="auto"/>
          <w:sz w:val="24"/>
          <w:szCs w:val="24"/>
          <w:highlight w:val="none"/>
          <w:u w:val="single"/>
        </w:rPr>
        <w:t xml:space="preserve"> </w:t>
      </w:r>
    </w:p>
    <w:p w14:paraId="0FAEC7E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bookmarkEnd w:id="7"/>
    <w:p w14:paraId="0BC7E0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198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/叁年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198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/叁年</w:t>
      </w:r>
    </w:p>
    <w:p w14:paraId="49321210">
      <w:pPr>
        <w:keepNext w:val="0"/>
        <w:keepLines w:val="0"/>
        <w:pageBreakBefore w:val="0"/>
        <w:widowControl w:val="0"/>
        <w:spacing w:line="360" w:lineRule="auto"/>
        <w:ind w:firstLine="480"/>
        <w:outlineLvl w:val="9"/>
        <w:rPr>
          <w:rFonts w:hint="eastAsia" w:ascii="宋体" w:hAnsi="宋体" w:cs="宋体"/>
          <w:b/>
          <w:bCs/>
          <w:color w:val="auto"/>
          <w:sz w:val="24"/>
          <w:highlight w:val="none"/>
        </w:rPr>
      </w:pPr>
      <w:r>
        <w:rPr>
          <w:rFonts w:hint="eastAsia" w:ascii="宋体" w:hAnsi="宋体" w:cs="宋体"/>
          <w:b/>
          <w:bCs/>
          <w:color w:val="auto"/>
          <w:sz w:val="24"/>
          <w:highlight w:val="none"/>
        </w:rPr>
        <w:t>本项目以优惠率进行报价。0≤优惠率&lt;100%，超出此范围则视为无效</w:t>
      </w:r>
      <w:r>
        <w:rPr>
          <w:rFonts w:hint="eastAsia" w:ascii="宋体" w:hAnsi="宋体" w:cs="宋体"/>
          <w:b/>
          <w:bCs/>
          <w:color w:val="auto"/>
          <w:sz w:val="24"/>
          <w:highlight w:val="none"/>
          <w:lang w:val="en-US" w:eastAsia="zh-CN"/>
        </w:rPr>
        <w:t>响应</w:t>
      </w:r>
      <w:r>
        <w:rPr>
          <w:rFonts w:hint="eastAsia" w:ascii="宋体" w:hAnsi="宋体" w:cs="宋体"/>
          <w:b/>
          <w:bCs/>
          <w:color w:val="auto"/>
          <w:sz w:val="24"/>
          <w:highlight w:val="none"/>
        </w:rPr>
        <w:t>。结算价格=公示价格*（1-优惠率)。各</w:t>
      </w:r>
      <w:r>
        <w:rPr>
          <w:rFonts w:hint="eastAsia" w:ascii="宋体" w:hAnsi="宋体"/>
          <w:b/>
          <w:bCs/>
          <w:color w:val="auto"/>
          <w:sz w:val="24"/>
          <w:highlight w:val="none"/>
          <w:lang w:val="en-US" w:eastAsia="zh-CN"/>
        </w:rPr>
        <w:t>供应商</w:t>
      </w:r>
      <w:r>
        <w:rPr>
          <w:rFonts w:hint="eastAsia" w:ascii="宋体" w:hAnsi="宋体" w:cs="宋体"/>
          <w:b/>
          <w:bCs/>
          <w:color w:val="auto"/>
          <w:sz w:val="24"/>
          <w:highlight w:val="none"/>
        </w:rPr>
        <w:t>按照常州市权威部门（价格通）发布的菜市场平均价为报价基数报优惠率（例如：优惠率1%，则结算价格为报价基数的99%；优惠率5%，则结算价格为报价基数的95%，以此为例）。如常州市权威部门（价格通）发布的菜市场平均价未有相应参照价格的，则由采购人与中标人协商确定供货价格。</w:t>
      </w:r>
    </w:p>
    <w:p w14:paraId="686E98C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1"/>
        <w:gridCol w:w="1860"/>
        <w:gridCol w:w="1275"/>
        <w:gridCol w:w="3742"/>
      </w:tblGrid>
      <w:tr w14:paraId="0813A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411" w:type="dxa"/>
            <w:noWrap w:val="0"/>
            <w:vAlign w:val="center"/>
          </w:tcPr>
          <w:p w14:paraId="59386C51">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860" w:type="dxa"/>
            <w:noWrap w:val="0"/>
            <w:vAlign w:val="center"/>
          </w:tcPr>
          <w:p w14:paraId="639F97BC">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采购预算金额</w:t>
            </w:r>
          </w:p>
          <w:p w14:paraId="39EDF926">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cs="宋体"/>
                <w:color w:val="auto"/>
                <w:sz w:val="24"/>
                <w:szCs w:val="24"/>
                <w:highlight w:val="none"/>
                <w:lang w:val="en-US" w:eastAsia="zh-CN"/>
              </w:rPr>
              <w:t>/叁年</w:t>
            </w:r>
            <w:r>
              <w:rPr>
                <w:rFonts w:hint="eastAsia" w:ascii="宋体" w:hAnsi="宋体" w:eastAsia="宋体" w:cs="宋体"/>
                <w:bCs/>
                <w:color w:val="auto"/>
                <w:sz w:val="24"/>
                <w:szCs w:val="24"/>
                <w:highlight w:val="none"/>
              </w:rPr>
              <w:t>）</w:t>
            </w:r>
          </w:p>
        </w:tc>
        <w:tc>
          <w:tcPr>
            <w:tcW w:w="1275" w:type="dxa"/>
            <w:noWrap w:val="0"/>
            <w:vAlign w:val="center"/>
          </w:tcPr>
          <w:p w14:paraId="2C473361">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3742" w:type="dxa"/>
            <w:noWrap w:val="0"/>
            <w:vAlign w:val="center"/>
          </w:tcPr>
          <w:p w14:paraId="06DC4DFF">
            <w:pPr>
              <w:keepNext w:val="0"/>
              <w:keepLines w:val="0"/>
              <w:pageBreakBefore w:val="0"/>
              <w:widowControl w:val="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66901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411" w:type="dxa"/>
            <w:noWrap w:val="0"/>
            <w:vAlign w:val="center"/>
          </w:tcPr>
          <w:p w14:paraId="50A2524A">
            <w:pPr>
              <w:keepNext w:val="0"/>
              <w:keepLines w:val="0"/>
              <w:pageBreakBefore w:val="0"/>
              <w:widowControl w:val="0"/>
              <w:jc w:val="center"/>
              <w:outlineLvl w:val="9"/>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2026年-2028年南大街街道食堂食材配送服务</w:t>
            </w:r>
          </w:p>
        </w:tc>
        <w:tc>
          <w:tcPr>
            <w:tcW w:w="1860" w:type="dxa"/>
            <w:noWrap w:val="0"/>
            <w:vAlign w:val="center"/>
          </w:tcPr>
          <w:p w14:paraId="6B1487B8">
            <w:pPr>
              <w:keepNext w:val="0"/>
              <w:keepLines w:val="0"/>
              <w:pageBreakBefore w:val="0"/>
              <w:widowControl w:val="0"/>
              <w:jc w:val="center"/>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198</w:t>
            </w:r>
          </w:p>
        </w:tc>
        <w:tc>
          <w:tcPr>
            <w:tcW w:w="1275" w:type="dxa"/>
            <w:noWrap w:val="0"/>
            <w:vAlign w:val="center"/>
          </w:tcPr>
          <w:p w14:paraId="320C84DB">
            <w:pPr>
              <w:keepNext w:val="0"/>
              <w:keepLines w:val="0"/>
              <w:pageBreakBefore w:val="0"/>
              <w:widowControl w:val="0"/>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3742" w:type="dxa"/>
            <w:noWrap w:val="0"/>
            <w:vAlign w:val="center"/>
          </w:tcPr>
          <w:p w14:paraId="721AAC51">
            <w:pPr>
              <w:keepNext w:val="0"/>
              <w:keepLines w:val="0"/>
              <w:pageBreakBefore w:val="0"/>
              <w:widowControl w:val="0"/>
              <w:jc w:val="both"/>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服务内容包括为切实加强</w:t>
            </w:r>
            <w:r>
              <w:rPr>
                <w:rFonts w:hint="eastAsia" w:ascii="宋体" w:hAnsi="宋体" w:cs="宋体"/>
                <w:color w:val="auto"/>
                <w:sz w:val="24"/>
                <w:szCs w:val="24"/>
                <w:highlight w:val="none"/>
                <w:lang w:val="en-US" w:eastAsia="zh-CN"/>
              </w:rPr>
              <w:t>南大街街道</w:t>
            </w:r>
            <w:r>
              <w:rPr>
                <w:rFonts w:hint="eastAsia" w:ascii="宋体" w:hAnsi="宋体" w:cs="宋体"/>
                <w:color w:val="auto"/>
                <w:sz w:val="24"/>
                <w:szCs w:val="24"/>
                <w:highlight w:val="none"/>
                <w:lang w:eastAsia="zh-CN"/>
              </w:rPr>
              <w:t>食堂食品卫生安全管理及物资采购管理，进一步提高食堂饭菜质量，确保原材料采购价格公开、透明、合理，推动食堂后勤服务的“集约化”和“专业化”，</w:t>
            </w:r>
            <w:r>
              <w:rPr>
                <w:rFonts w:hint="eastAsia" w:ascii="宋体" w:hAnsi="宋体" w:cs="宋体"/>
                <w:color w:val="auto"/>
                <w:sz w:val="24"/>
                <w:highlight w:val="none"/>
              </w:rPr>
              <w:t>主要包含</w:t>
            </w:r>
            <w:r>
              <w:rPr>
                <w:rFonts w:hint="eastAsia" w:ascii="宋体" w:hAnsi="宋体" w:cs="宋体"/>
                <w:color w:val="auto"/>
                <w:sz w:val="24"/>
                <w:highlight w:val="none"/>
                <w:lang w:val="en-US" w:eastAsia="zh-CN"/>
              </w:rPr>
              <w:t>午餐</w:t>
            </w:r>
            <w:r>
              <w:rPr>
                <w:rFonts w:hint="eastAsia" w:ascii="宋体" w:hAnsi="宋体" w:cs="宋体"/>
                <w:color w:val="auto"/>
                <w:sz w:val="24"/>
                <w:highlight w:val="none"/>
              </w:rPr>
              <w:t>食材、调味品、水果、牛奶等食品采购及配送等。</w:t>
            </w:r>
          </w:p>
        </w:tc>
      </w:tr>
    </w:tbl>
    <w:p w14:paraId="7CF356C4">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6.合同履行期限：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暂定三年，合同一年一签。其中前三个月为试用期，试用期满须经采购人考核，考核不合格，采购人可以解除合同。每年合同期满经采购人考核合格后可续签下一年度合同。</w:t>
      </w:r>
      <w:r>
        <w:rPr>
          <w:rFonts w:hint="eastAsia" w:ascii="宋体" w:hAnsi="宋体" w:eastAsia="宋体" w:cs="宋体"/>
          <w:color w:val="auto"/>
          <w:sz w:val="24"/>
          <w:szCs w:val="24"/>
          <w:highlight w:val="none"/>
          <w:u w:val="single"/>
          <w:lang w:val="en-US" w:eastAsia="zh-CN"/>
        </w:rPr>
        <w:t xml:space="preserve"> </w:t>
      </w:r>
    </w:p>
    <w:p w14:paraId="25FD2D2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7.本项目是否接受联合体：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  ■否。</w:t>
      </w:r>
    </w:p>
    <w:p w14:paraId="2DC53C4B">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8" w:name="_Toc28359080"/>
      <w:bookmarkStart w:id="9" w:name="_Toc35393622"/>
      <w:bookmarkStart w:id="10" w:name="_Toc35393791"/>
      <w:bookmarkStart w:id="11" w:name="_Toc28359003"/>
      <w:r>
        <w:rPr>
          <w:rFonts w:hint="eastAsia" w:ascii="宋体" w:hAnsi="宋体" w:eastAsia="宋体" w:cs="Times New Roman"/>
          <w:b/>
          <w:bCs/>
          <w:color w:val="auto"/>
          <w:sz w:val="24"/>
          <w:szCs w:val="24"/>
          <w:highlight w:val="none"/>
        </w:rPr>
        <w:t>二、申请人的资格要求（须同时满足）</w:t>
      </w:r>
      <w:bookmarkEnd w:id="8"/>
      <w:bookmarkEnd w:id="9"/>
      <w:bookmarkEnd w:id="10"/>
      <w:bookmarkEnd w:id="11"/>
    </w:p>
    <w:p w14:paraId="1CC50DD9">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bookmarkStart w:id="12" w:name="_Toc28359081"/>
      <w:bookmarkStart w:id="13" w:name="_Toc28359004"/>
      <w:r>
        <w:rPr>
          <w:rFonts w:hint="eastAsia" w:ascii="宋体" w:hAnsi="宋体" w:eastAsia="宋体" w:cs="宋体"/>
          <w:color w:val="auto"/>
          <w:sz w:val="24"/>
          <w:szCs w:val="24"/>
          <w:highlight w:val="none"/>
        </w:rPr>
        <w:t>1.满足《中华人民共和国政府采购法》第二十二条规定以及下列情形：</w:t>
      </w:r>
    </w:p>
    <w:p w14:paraId="5358160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4619F262">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7B52EB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978D316">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51FB07FB">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7762D16E">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  ■中小 □小微企业  采购。即：提供的服务全部由符合政策要求的中小企业承接。</w:t>
      </w:r>
    </w:p>
    <w:p w14:paraId="0995351C">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□本项目预留部分采购项目预算专门面向中小企业采购。对于预留份额，服务由符合政策要求的中小企业承接。预留份额通过以下措施进行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503CB7FA">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1375CAF4">
      <w:pPr>
        <w:keepNext w:val="0"/>
        <w:keepLines w:val="0"/>
        <w:pageBreakBefore w:val="0"/>
        <w:widowControl w:val="0"/>
        <w:spacing w:line="360" w:lineRule="auto"/>
        <w:ind w:firstLine="480"/>
        <w:outlineLvl w:val="9"/>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3.本项目的特定资格要求：</w:t>
      </w:r>
    </w:p>
    <w:p w14:paraId="44558D93">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3.1本项目是否接受分支机构参与响应：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   ■否；</w:t>
      </w:r>
    </w:p>
    <w:p w14:paraId="0BBDE581">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本项目是否属于政府购买服务：</w:t>
      </w:r>
    </w:p>
    <w:p w14:paraId="2E5928BC">
      <w:pPr>
        <w:keepNext w:val="0"/>
        <w:keepLines w:val="0"/>
        <w:pageBreakBefore w:val="0"/>
        <w:widowControl w:val="0"/>
        <w:tabs>
          <w:tab w:val="left" w:pos="900"/>
          <w:tab w:val="left" w:pos="1134"/>
          <w:tab w:val="left" w:pos="1589"/>
          <w:tab w:val="left" w:pos="5521"/>
        </w:tabs>
        <w:spacing w:line="360" w:lineRule="auto"/>
        <w:ind w:left="991" w:firstLine="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0184C0A2">
      <w:pPr>
        <w:keepNext w:val="0"/>
        <w:keepLines w:val="0"/>
        <w:pageBreakBefore w:val="0"/>
        <w:widowControl w:val="0"/>
        <w:tabs>
          <w:tab w:val="left" w:pos="900"/>
          <w:tab w:val="left" w:pos="1134"/>
          <w:tab w:val="left" w:pos="1589"/>
          <w:tab w:val="left" w:pos="5521"/>
        </w:tabs>
        <w:spacing w:line="360" w:lineRule="auto"/>
        <w:ind w:left="991" w:firstLine="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22FC8BF1">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3.3其他特定资格要求：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供应商具有有效的《食品经营许可证》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bookmarkEnd w:id="12"/>
    <w:bookmarkEnd w:id="13"/>
    <w:p w14:paraId="39917712">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14" w:name="_Toc35393792"/>
      <w:bookmarkStart w:id="15" w:name="_Toc35393623"/>
      <w:r>
        <w:rPr>
          <w:rFonts w:hint="eastAsia" w:ascii="宋体" w:hAnsi="宋体" w:eastAsia="宋体" w:cs="Times New Roman"/>
          <w:b/>
          <w:bCs/>
          <w:color w:val="auto"/>
          <w:sz w:val="24"/>
          <w:szCs w:val="24"/>
          <w:highlight w:val="none"/>
        </w:rPr>
        <w:t>三、获取采购文件</w:t>
      </w:r>
      <w:bookmarkEnd w:id="14"/>
      <w:bookmarkEnd w:id="15"/>
    </w:p>
    <w:p w14:paraId="2BB87692">
      <w:pPr>
        <w:keepNext w:val="0"/>
        <w:keepLines w:val="0"/>
        <w:pageBreakBefore w:val="0"/>
        <w:spacing w:line="360" w:lineRule="auto"/>
        <w:ind w:firstLine="480"/>
        <w:outlineLvl w:val="9"/>
        <w:rPr>
          <w:rFonts w:hint="eastAsia" w:ascii="宋体" w:hAnsi="宋体" w:eastAsia="宋体" w:cs="宋体"/>
          <w:color w:val="auto"/>
          <w:sz w:val="24"/>
          <w:highlight w:val="none"/>
          <w:u w:val="none"/>
          <w:lang w:bidi="ar"/>
        </w:rPr>
      </w:pPr>
      <w:bookmarkStart w:id="16" w:name="_Toc28359005"/>
      <w:bookmarkStart w:id="17" w:name="_Toc28359082"/>
      <w:bookmarkStart w:id="18" w:name="_Toc35393793"/>
      <w:bookmarkStart w:id="19" w:name="_Toc35393624"/>
      <w:r>
        <w:rPr>
          <w:rFonts w:hint="eastAsia" w:ascii="宋体" w:hAnsi="宋体" w:eastAsia="宋体" w:cs="宋体"/>
          <w:color w:val="auto"/>
          <w:sz w:val="24"/>
          <w:highlight w:val="none"/>
          <w:u w:val="none"/>
          <w:lang w:bidi="ar"/>
        </w:rPr>
        <w:t>1.时间：</w:t>
      </w:r>
      <w:r>
        <w:rPr>
          <w:rFonts w:hint="eastAsia" w:ascii="宋体" w:hAnsi="宋体" w:eastAsia="宋体" w:cs="宋体"/>
          <w:color w:val="auto"/>
          <w:sz w:val="24"/>
          <w:highlight w:val="none"/>
          <w:u w:val="none"/>
        </w:rPr>
        <w:t>自磋商公告发布之日起5个工作日</w:t>
      </w:r>
      <w:r>
        <w:rPr>
          <w:rFonts w:hint="eastAsia" w:ascii="宋体" w:hAnsi="宋体" w:eastAsia="宋体" w:cs="宋体"/>
          <w:color w:val="auto"/>
          <w:sz w:val="24"/>
          <w:highlight w:val="none"/>
          <w:u w:val="none"/>
          <w:lang w:bidi="ar"/>
        </w:rPr>
        <w:t>。</w:t>
      </w:r>
    </w:p>
    <w:p w14:paraId="2430DA22">
      <w:pPr>
        <w:keepNext w:val="0"/>
        <w:keepLines w:val="0"/>
        <w:pageBreakBefore w:val="0"/>
        <w:spacing w:line="360" w:lineRule="auto"/>
        <w:ind w:firstLine="480"/>
        <w:outlineLvl w:val="9"/>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2.地点：</w:t>
      </w:r>
      <w:r>
        <w:rPr>
          <w:rFonts w:hint="eastAsia" w:ascii="宋体" w:hAnsi="宋体" w:eastAsia="宋体" w:cs="宋体"/>
          <w:color w:val="auto"/>
          <w:sz w:val="24"/>
          <w:szCs w:val="24"/>
          <w:highlight w:val="none"/>
        </w:rPr>
        <w:t>“苏采云”政府采购一体化平台。</w:t>
      </w:r>
    </w:p>
    <w:p w14:paraId="7AF3429D">
      <w:pPr>
        <w:keepNext w:val="0"/>
        <w:keepLines w:val="0"/>
        <w:pageBreakBefore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w:t>
      </w:r>
      <w:r>
        <w:rPr>
          <w:rFonts w:hint="eastAsia" w:ascii="宋体" w:hAnsi="宋体" w:eastAsia="宋体" w:cs="宋体"/>
          <w:color w:val="auto"/>
          <w:sz w:val="24"/>
          <w:szCs w:val="24"/>
          <w:highlight w:val="none"/>
          <w:lang w:val="en-US" w:eastAsia="zh-CN"/>
        </w:rPr>
        <w:t>供应商登</w:t>
      </w:r>
      <w:r>
        <w:rPr>
          <w:rFonts w:hint="eastAsia" w:ascii="宋体" w:hAnsi="宋体" w:cs="宋体"/>
          <w:color w:val="auto"/>
          <w:sz w:val="24"/>
          <w:szCs w:val="24"/>
          <w:highlight w:val="none"/>
          <w:lang w:val="en-US" w:eastAsia="zh-CN"/>
        </w:rPr>
        <w:t>录</w:t>
      </w:r>
      <w:r>
        <w:rPr>
          <w:rFonts w:hint="eastAsia" w:ascii="宋体" w:hAnsi="宋体" w:eastAsia="宋体" w:cs="宋体"/>
          <w:color w:val="auto"/>
          <w:sz w:val="24"/>
          <w:szCs w:val="24"/>
          <w:highlight w:val="none"/>
          <w:lang w:val="en-US" w:eastAsia="zh-CN"/>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730ABD55">
      <w:pPr>
        <w:keepNext w:val="0"/>
        <w:keepLines w:val="0"/>
        <w:pageBreakBefore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元。</w:t>
      </w:r>
    </w:p>
    <w:p w14:paraId="72F0B7F9">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四、</w:t>
      </w:r>
      <w:bookmarkEnd w:id="16"/>
      <w:bookmarkEnd w:id="17"/>
      <w:bookmarkEnd w:id="18"/>
      <w:bookmarkEnd w:id="19"/>
      <w:r>
        <w:rPr>
          <w:rFonts w:hint="eastAsia" w:ascii="宋体" w:hAnsi="宋体" w:eastAsia="宋体" w:cs="Times New Roman"/>
          <w:b/>
          <w:bCs/>
          <w:color w:val="auto"/>
          <w:sz w:val="24"/>
          <w:szCs w:val="24"/>
          <w:highlight w:val="none"/>
        </w:rPr>
        <w:t>响应文件提交</w:t>
      </w:r>
    </w:p>
    <w:p w14:paraId="7EC00D1B">
      <w:pPr>
        <w:keepNext w:val="0"/>
        <w:keepLines w:val="0"/>
        <w:pageBreakBefore w:val="0"/>
        <w:widowControl w:val="0"/>
        <w:spacing w:line="360" w:lineRule="auto"/>
        <w:ind w:firstLine="480"/>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8</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 xml:space="preserve">0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185DA251">
      <w:pPr>
        <w:keepNext w:val="0"/>
        <w:keepLines w:val="0"/>
        <w:pageBreakBefore w:val="0"/>
        <w:widowControl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本项目采用远程“不见面”交易方式，无需到现场提交，请供应商在</w:t>
      </w:r>
      <w:r>
        <w:rPr>
          <w:rFonts w:hint="eastAsia" w:ascii="宋体" w:hAnsi="宋体"/>
          <w:color w:val="auto"/>
          <w:sz w:val="24"/>
          <w:highlight w:val="none"/>
          <w:u w:val="single"/>
          <w:lang w:val="en-US" w:eastAsia="zh-CN"/>
        </w:rPr>
        <w:t>提交</w:t>
      </w:r>
      <w:r>
        <w:rPr>
          <w:rFonts w:hint="eastAsia" w:ascii="宋体" w:hAnsi="宋体"/>
          <w:color w:val="auto"/>
          <w:sz w:val="24"/>
          <w:highlight w:val="none"/>
          <w:u w:val="single"/>
          <w:lang w:eastAsia="zh-CN"/>
        </w:rPr>
        <w:t>时间截止前提前登入“苏采云”，通过系统在线提交电子磋商响应文件</w:t>
      </w:r>
      <w:r>
        <w:rPr>
          <w:rFonts w:hint="eastAsia" w:ascii="宋体" w:hAnsi="宋体" w:eastAsia="宋体" w:cs="宋体"/>
          <w:color w:val="auto"/>
          <w:sz w:val="24"/>
          <w:highlight w:val="none"/>
          <w:lang w:bidi="ar"/>
        </w:rPr>
        <w:t>。</w:t>
      </w:r>
    </w:p>
    <w:p w14:paraId="00B30C87">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五、开启</w:t>
      </w:r>
    </w:p>
    <w:p w14:paraId="506A3DE8">
      <w:pPr>
        <w:keepNext w:val="0"/>
        <w:keepLines w:val="0"/>
        <w:pageBreakBefore w:val="0"/>
        <w:widowControl w:val="0"/>
        <w:spacing w:line="360" w:lineRule="auto"/>
        <w:ind w:firstLine="480"/>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8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 xml:space="preserve">0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358D8BE0">
      <w:pPr>
        <w:keepNext w:val="0"/>
        <w:keepLines w:val="0"/>
        <w:pageBreakBefore w:val="0"/>
        <w:widowControl w:val="0"/>
        <w:spacing w:line="360" w:lineRule="auto"/>
        <w:ind w:firstLine="480"/>
        <w:outlineLvl w:val="9"/>
        <w:rPr>
          <w:rFonts w:hint="eastAsia" w:ascii="宋体" w:hAnsi="宋体" w:eastAsia="宋体" w:cs="宋体"/>
          <w:color w:val="auto"/>
          <w:sz w:val="24"/>
          <w:highlight w:val="none"/>
          <w:lang w:bidi="ar"/>
        </w:rPr>
      </w:pPr>
      <w:bookmarkStart w:id="20" w:name="_Toc35393625"/>
      <w:bookmarkStart w:id="21" w:name="_Toc35393794"/>
      <w:bookmarkStart w:id="22" w:name="_Toc28359084"/>
      <w:bookmarkStart w:id="23" w:name="_Toc28359007"/>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“苏采云”政府采购交易系统网上开标大厅</w:t>
      </w:r>
      <w:r>
        <w:rPr>
          <w:rFonts w:hint="eastAsia" w:ascii="宋体" w:hAnsi="宋体" w:eastAsia="宋体" w:cs="宋体"/>
          <w:color w:val="auto"/>
          <w:sz w:val="24"/>
          <w:highlight w:val="none"/>
          <w:lang w:bidi="ar"/>
        </w:rPr>
        <w:t>。</w:t>
      </w:r>
    </w:p>
    <w:p w14:paraId="2196343B">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六、公告期限</w:t>
      </w:r>
      <w:bookmarkEnd w:id="20"/>
      <w:bookmarkEnd w:id="21"/>
      <w:bookmarkEnd w:id="22"/>
      <w:bookmarkEnd w:id="23"/>
    </w:p>
    <w:p w14:paraId="552EDD85">
      <w:pPr>
        <w:keepNext w:val="0"/>
        <w:keepLines w:val="0"/>
        <w:pageBreakBefore w:val="0"/>
        <w:widowControl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自本公告发布之日起3个工作日。</w:t>
      </w:r>
    </w:p>
    <w:p w14:paraId="0E09768A">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24" w:name="_Toc35393795"/>
      <w:bookmarkStart w:id="25" w:name="_Toc35393626"/>
      <w:r>
        <w:rPr>
          <w:rFonts w:hint="eastAsia" w:ascii="宋体" w:hAnsi="宋体" w:eastAsia="宋体" w:cs="Times New Roman"/>
          <w:b/>
          <w:bCs/>
          <w:color w:val="auto"/>
          <w:sz w:val="24"/>
          <w:szCs w:val="24"/>
          <w:highlight w:val="none"/>
        </w:rPr>
        <w:t>七、其他补充事宜</w:t>
      </w:r>
      <w:bookmarkEnd w:id="24"/>
      <w:bookmarkEnd w:id="25"/>
    </w:p>
    <w:p w14:paraId="5329ECF5">
      <w:pPr>
        <w:keepNext w:val="0"/>
        <w:keepLines w:val="0"/>
        <w:pageBreakBefore w:val="0"/>
        <w:spacing w:line="360" w:lineRule="auto"/>
        <w:ind w:firstLine="480"/>
        <w:outlineLvl w:val="9"/>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1.本项目需要落实的政府采购政策：</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highlight w:val="none"/>
        </w:rPr>
        <w:t>。</w:t>
      </w:r>
      <w:bookmarkStart w:id="26" w:name="_Toc28359085"/>
      <w:bookmarkStart w:id="27" w:name="_Toc28359008"/>
      <w:bookmarkStart w:id="28" w:name="_Toc35393796"/>
      <w:bookmarkStart w:id="29" w:name="_Toc35393627"/>
    </w:p>
    <w:p w14:paraId="4DC3EFC5">
      <w:pPr>
        <w:keepNext w:val="0"/>
        <w:keepLines w:val="0"/>
        <w:pageBreakBefore w:val="0"/>
        <w:spacing w:line="360" w:lineRule="auto"/>
        <w:ind w:firstLine="48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2.本项目的采购年限为</w:t>
      </w:r>
      <w:r>
        <w:rPr>
          <w:rFonts w:hint="eastAsia" w:ascii="宋体" w:hAnsi="宋体" w:eastAsia="宋体" w:cs="宋体"/>
          <w:color w:val="auto"/>
          <w:sz w:val="24"/>
          <w:highlight w:val="none"/>
          <w:u w:val="single"/>
          <w:lang w:val="en-US" w:eastAsia="zh-CN"/>
        </w:rPr>
        <w:t xml:space="preserve">3 </w:t>
      </w:r>
      <w:r>
        <w:rPr>
          <w:rFonts w:hint="eastAsia" w:ascii="宋体" w:hAnsi="宋体" w:eastAsia="宋体" w:cs="宋体"/>
          <w:color w:val="auto"/>
          <w:sz w:val="24"/>
          <w:highlight w:val="none"/>
          <w:lang w:val="en-US" w:eastAsia="zh-CN"/>
        </w:rPr>
        <w:t>年、预算金额为</w:t>
      </w:r>
      <w:r>
        <w:rPr>
          <w:rFonts w:hint="eastAsia" w:ascii="宋体" w:hAnsi="宋体" w:eastAsia="宋体" w:cs="宋体"/>
          <w:color w:val="auto"/>
          <w:sz w:val="24"/>
          <w:highlight w:val="none"/>
          <w:u w:val="single"/>
          <w:lang w:val="en-US" w:eastAsia="zh-CN"/>
        </w:rPr>
        <w:t xml:space="preserve">198 </w:t>
      </w:r>
      <w:r>
        <w:rPr>
          <w:rFonts w:hint="eastAsia" w:ascii="宋体" w:hAnsi="宋体" w:eastAsia="宋体" w:cs="宋体"/>
          <w:color w:val="auto"/>
          <w:sz w:val="24"/>
          <w:highlight w:val="none"/>
          <w:lang w:val="en-US" w:eastAsia="zh-CN"/>
        </w:rPr>
        <w:t>万元、当年安排数为</w:t>
      </w:r>
      <w:r>
        <w:rPr>
          <w:rFonts w:hint="eastAsia" w:ascii="宋体" w:hAnsi="宋体" w:eastAsia="宋体" w:cs="宋体"/>
          <w:color w:val="auto"/>
          <w:sz w:val="24"/>
          <w:highlight w:val="none"/>
          <w:u w:val="single"/>
          <w:lang w:val="en-US" w:eastAsia="zh-CN"/>
        </w:rPr>
        <w:t xml:space="preserve">66 </w:t>
      </w:r>
      <w:r>
        <w:rPr>
          <w:rFonts w:hint="eastAsia" w:ascii="宋体" w:hAnsi="宋体" w:eastAsia="宋体" w:cs="宋体"/>
          <w:color w:val="auto"/>
          <w:sz w:val="24"/>
          <w:highlight w:val="none"/>
          <w:lang w:val="en-US" w:eastAsia="zh-CN"/>
        </w:rPr>
        <w:t>万元。</w:t>
      </w:r>
    </w:p>
    <w:p w14:paraId="14372D94">
      <w:pPr>
        <w:keepNext w:val="0"/>
        <w:keepLines w:val="0"/>
        <w:pageBreakBefore w:val="0"/>
        <w:spacing w:line="360" w:lineRule="auto"/>
        <w:ind w:firstLine="480"/>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通过苏采云系统参与政府采购项目，需要更换CA数字证书和电子签章。</w:t>
      </w:r>
    </w:p>
    <w:p w14:paraId="425950F5">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w:t>
      </w:r>
    </w:p>
    <w:p w14:paraId="2E3BE0D6">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.有关本次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的事项若存在变动或修改，敬请及时关注“江苏政府采购网”、“常州市政府采购网”发布的更正公告。</w:t>
      </w:r>
    </w:p>
    <w:p w14:paraId="6BF3DB1E">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不收取</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保证金。</w:t>
      </w:r>
    </w:p>
    <w:p w14:paraId="3337A38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.注意事项</w:t>
      </w:r>
    </w:p>
    <w:p w14:paraId="3ED730A0">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highlight w:val="none"/>
        </w:rPr>
        <w:t>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自行承担。</w:t>
      </w:r>
    </w:p>
    <w:p w14:paraId="7608BDC7">
      <w:pPr>
        <w:keepNext w:val="0"/>
        <w:keepLines w:val="0"/>
        <w:pageBreakBefore w:val="0"/>
        <w:widowControl/>
        <w:numPr>
          <w:ilvl w:val="0"/>
          <w:numId w:val="0"/>
        </w:numPr>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p>
    <w:p w14:paraId="2D5E0EC6">
      <w:pPr>
        <w:keepNext w:val="0"/>
        <w:keepLines w:val="0"/>
        <w:pageBreakBefore w:val="0"/>
        <w:widowControl/>
        <w:numPr>
          <w:ilvl w:val="0"/>
          <w:numId w:val="0"/>
        </w:numPr>
        <w:spacing w:line="360" w:lineRule="auto"/>
        <w:ind w:firstLine="480"/>
        <w:jc w:val="left"/>
        <w:outlineLvl w:val="9"/>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1A0140E4">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val="en-US" w:eastAsia="zh-CN"/>
        </w:rPr>
        <w:t>.如潜在供应商未按上述要求操作，将自行承担所产生的风险。</w:t>
      </w:r>
    </w:p>
    <w:p w14:paraId="61F3EED5">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.关于常州市中小企业政府采购信用融资：</w:t>
      </w:r>
    </w:p>
    <w:p w14:paraId="637284D3">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BC1D29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.关于深入开展常州市政府采购线上合同信用融资：</w:t>
      </w:r>
    </w:p>
    <w:p w14:paraId="28B881E9">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1B583B2A">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八、对本项目提出询问，请按以下方式联系。</w:t>
      </w:r>
      <w:bookmarkEnd w:id="26"/>
      <w:bookmarkEnd w:id="27"/>
      <w:bookmarkEnd w:id="28"/>
      <w:bookmarkEnd w:id="29"/>
    </w:p>
    <w:p w14:paraId="7FFA95AE">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1.采购人信息</w:t>
      </w:r>
    </w:p>
    <w:p w14:paraId="097F7E63">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常州市钟楼区南大街街道办事处</w:t>
      </w:r>
      <w:r>
        <w:rPr>
          <w:rFonts w:hint="eastAsia" w:ascii="宋体" w:hAnsi="宋体" w:eastAsia="宋体" w:cs="宋体"/>
          <w:color w:val="auto"/>
          <w:sz w:val="24"/>
          <w:highlight w:val="none"/>
          <w:u w:val="single"/>
          <w:lang w:val="en-US" w:eastAsia="zh-CN" w:bidi="ar"/>
        </w:rPr>
        <w:t xml:space="preserve"> </w:t>
      </w:r>
    </w:p>
    <w:p w14:paraId="6932A55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zh-TW" w:bidi="ar"/>
        </w:rPr>
        <w:t>常州市钟楼区广化街187号</w:t>
      </w:r>
      <w:r>
        <w:rPr>
          <w:rFonts w:hint="eastAsia" w:ascii="宋体" w:hAnsi="宋体" w:eastAsia="宋体" w:cs="宋体"/>
          <w:color w:val="auto"/>
          <w:sz w:val="24"/>
          <w:highlight w:val="none"/>
          <w:u w:val="single"/>
          <w:lang w:val="en-US" w:eastAsia="zh-CN" w:bidi="ar"/>
        </w:rPr>
        <w:t xml:space="preserve"> </w:t>
      </w:r>
    </w:p>
    <w:p w14:paraId="5E2943CA">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cs="宋体"/>
          <w:outline w:val="0"/>
          <w:color w:val="auto"/>
          <w:sz w:val="24"/>
          <w:szCs w:val="24"/>
          <w:highlight w:val="none"/>
          <w:u w:val="single" w:color="000000"/>
          <w:rtl w:val="0"/>
          <w:lang w:val="en-US" w:eastAsia="zh-CN"/>
        </w:rPr>
        <w:t>范先生</w:t>
      </w:r>
      <w:r>
        <w:rPr>
          <w:rFonts w:ascii="宋体" w:hAnsi="宋体" w:eastAsia="宋体" w:cs="宋体"/>
          <w:outline w:val="0"/>
          <w:color w:val="auto"/>
          <w:sz w:val="24"/>
          <w:szCs w:val="24"/>
          <w:highlight w:val="none"/>
          <w:u w:val="single" w:color="000000"/>
          <w:rtl w:val="0"/>
          <w:lang w:val="zh-TW" w:eastAsia="zh-TW"/>
        </w:rPr>
        <w:t>、</w:t>
      </w:r>
      <w:r>
        <w:rPr>
          <w:rFonts w:hint="eastAsia" w:ascii="宋体" w:hAnsi="宋体" w:eastAsia="宋体" w:cs="宋体"/>
          <w:outline w:val="0"/>
          <w:color w:val="auto"/>
          <w:sz w:val="24"/>
          <w:szCs w:val="24"/>
          <w:highlight w:val="none"/>
          <w:u w:val="single" w:color="000000"/>
          <w:rtl w:val="0"/>
          <w:lang w:val="en-US" w:eastAsia="zh-CN"/>
        </w:rPr>
        <w:t>0519-68201800</w:t>
      </w:r>
      <w:r>
        <w:rPr>
          <w:rFonts w:hint="eastAsia" w:ascii="宋体" w:hAnsi="宋体" w:cs="宋体"/>
          <w:outline w:val="0"/>
          <w:color w:val="auto"/>
          <w:sz w:val="24"/>
          <w:szCs w:val="24"/>
          <w:highlight w:val="none"/>
          <w:u w:val="single" w:color="000000"/>
          <w:rtl w:val="0"/>
          <w:lang w:val="en-US" w:eastAsia="zh-CN"/>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en-US" w:eastAsia="zh-CN" w:bidi="ar"/>
        </w:rPr>
        <w:t xml:space="preserve"> </w:t>
      </w:r>
    </w:p>
    <w:p w14:paraId="788D1DDB">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2.采购代理机构信息</w:t>
      </w:r>
    </w:p>
    <w:p w14:paraId="5669784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eastAsia="宋体" w:cs="宋体"/>
          <w:color w:val="auto"/>
          <w:sz w:val="24"/>
          <w:highlight w:val="none"/>
          <w:u w:val="single"/>
          <w:lang w:val="zh-TW" w:bidi="ar"/>
        </w:rPr>
        <w:t xml:space="preserve"> 江苏尚阳工程管理有限公司</w:t>
      </w:r>
      <w:r>
        <w:rPr>
          <w:rFonts w:hint="eastAsia" w:ascii="宋体" w:hAnsi="宋体" w:eastAsia="宋体" w:cs="宋体"/>
          <w:color w:val="auto"/>
          <w:sz w:val="24"/>
          <w:highlight w:val="none"/>
          <w:u w:val="single"/>
          <w:lang w:val="en-US" w:eastAsia="zh-CN" w:bidi="ar"/>
        </w:rPr>
        <w:t xml:space="preserve"> </w:t>
      </w:r>
    </w:p>
    <w:p w14:paraId="44AC7C0A">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zh-TW" w:eastAsia="zh-CN" w:bidi="ar"/>
        </w:rPr>
        <w:t>常州市新北区嵩山路1-301号</w:t>
      </w:r>
      <w:r>
        <w:rPr>
          <w:rFonts w:hint="eastAsia" w:ascii="宋体" w:hAnsi="宋体" w:eastAsia="宋体" w:cs="宋体"/>
          <w:color w:val="auto"/>
          <w:sz w:val="24"/>
          <w:highlight w:val="none"/>
          <w:u w:val="single"/>
          <w:lang w:val="en-US" w:eastAsia="zh-CN" w:bidi="ar"/>
        </w:rPr>
        <w:t xml:space="preserve"> </w:t>
      </w:r>
    </w:p>
    <w:p w14:paraId="2D44DA01">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0519-88818225</w:t>
      </w:r>
      <w:r>
        <w:rPr>
          <w:rFonts w:hint="eastAsia" w:ascii="宋体" w:hAnsi="宋体" w:eastAsia="宋体" w:cs="宋体"/>
          <w:color w:val="auto"/>
          <w:sz w:val="24"/>
          <w:highlight w:val="none"/>
          <w:u w:val="single"/>
          <w:lang w:val="en-US" w:eastAsia="zh-CN" w:bidi="ar"/>
        </w:rPr>
        <w:t xml:space="preserve"> </w:t>
      </w:r>
    </w:p>
    <w:p w14:paraId="37149A98">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3.项目联系方式</w:t>
      </w:r>
    </w:p>
    <w:p w14:paraId="273A1820">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项目联系人：</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王涛</w:t>
      </w:r>
      <w:r>
        <w:rPr>
          <w:rFonts w:hint="eastAsia" w:ascii="宋体" w:hAnsi="宋体" w:eastAsia="宋体" w:cs="宋体"/>
          <w:color w:val="auto"/>
          <w:sz w:val="24"/>
          <w:highlight w:val="none"/>
          <w:u w:val="single"/>
          <w:lang w:val="en-US" w:eastAsia="zh-CN" w:bidi="ar"/>
        </w:rPr>
        <w:t xml:space="preserve"> </w:t>
      </w:r>
    </w:p>
    <w:p w14:paraId="74869882">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bidi="ar"/>
        </w:rPr>
        <w:t>电      话：</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0519-88818292-（8000）</w:t>
      </w:r>
      <w:r>
        <w:rPr>
          <w:rFonts w:hint="eastAsia" w:ascii="宋体" w:hAnsi="宋体" w:eastAsia="宋体" w:cs="宋体"/>
          <w:color w:val="auto"/>
          <w:sz w:val="24"/>
          <w:highlight w:val="none"/>
          <w:u w:val="single"/>
          <w:lang w:val="en-US" w:eastAsia="zh-CN" w:bidi="ar"/>
        </w:rPr>
        <w:t xml:space="preserve"> </w:t>
      </w:r>
    </w:p>
    <w:p w14:paraId="3BFD3E6B">
      <w:pPr>
        <w:pStyle w:val="216"/>
        <w:outlineLvl w:val="9"/>
        <w:rPr>
          <w:rFonts w:hint="eastAsia"/>
          <w:color w:val="auto"/>
          <w:highlight w:val="none"/>
        </w:rPr>
        <w:sectPr>
          <w:footerReference r:id="rId9" w:type="first"/>
          <w:footerReference r:id="rId8" w:type="default"/>
          <w:pgSz w:w="11907" w:h="16840"/>
          <w:pgMar w:top="1418" w:right="1134" w:bottom="1418" w:left="1701" w:header="851" w:footer="851" w:gutter="0"/>
          <w:pgNumType w:fmt="decimal" w:start="1"/>
          <w:cols w:space="1701" w:num="1"/>
          <w:titlePg/>
          <w:docGrid w:linePitch="360" w:charSpace="0"/>
        </w:sectPr>
      </w:pPr>
    </w:p>
    <w:p w14:paraId="121BDF44">
      <w:pPr>
        <w:keepNext w:val="0"/>
        <w:keepLines w:val="0"/>
        <w:pageBreakBefore w:val="0"/>
        <w:spacing w:line="360" w:lineRule="auto"/>
        <w:jc w:val="center"/>
        <w:outlineLvl w:val="0"/>
        <w:rPr>
          <w:b/>
          <w:color w:val="auto"/>
          <w:sz w:val="36"/>
          <w:szCs w:val="36"/>
          <w:highlight w:val="none"/>
        </w:rPr>
      </w:pPr>
      <w:bookmarkStart w:id="30" w:name="_Toc226965856"/>
      <w:bookmarkStart w:id="31" w:name="_Toc264969275"/>
      <w:bookmarkStart w:id="32" w:name="_Toc127151777"/>
      <w:bookmarkStart w:id="33" w:name="_Toc150774783"/>
      <w:bookmarkStart w:id="34" w:name="_Toc127161488"/>
      <w:bookmarkStart w:id="35" w:name="_Toc305158928"/>
      <w:bookmarkStart w:id="36" w:name="_Toc195842950"/>
      <w:bookmarkStart w:id="37" w:name="_Toc265228423"/>
      <w:bookmarkStart w:id="38" w:name="_Toc512937850"/>
      <w:bookmarkStart w:id="39" w:name="_Toc353873938"/>
      <w:bookmarkStart w:id="40" w:name="_Toc104818926"/>
      <w:bookmarkStart w:id="41" w:name="_Toc353825548"/>
      <w:bookmarkStart w:id="42" w:name="_Toc305158854"/>
      <w:bookmarkStart w:id="43" w:name="_Toc2237"/>
      <w:r>
        <w:rPr>
          <w:b/>
          <w:color w:val="auto"/>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01E260A5">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44" w:name="_Toc226965709"/>
      <w:bookmarkStart w:id="45" w:name="_Toc164608633"/>
      <w:bookmarkStart w:id="46" w:name="_Toc151193761"/>
      <w:bookmarkStart w:id="47" w:name="_Toc164229360"/>
      <w:bookmarkStart w:id="48" w:name="_Toc149720812"/>
      <w:bookmarkStart w:id="49" w:name="_Toc150480757"/>
      <w:bookmarkStart w:id="50" w:name="_Toc226965792"/>
      <w:bookmarkStart w:id="51" w:name="_Toc195842884"/>
      <w:bookmarkStart w:id="52" w:name="_Toc164351613"/>
      <w:bookmarkStart w:id="53" w:name="_Toc151193689"/>
      <w:bookmarkStart w:id="54" w:name="_Toc151193907"/>
      <w:bookmarkStart w:id="55" w:name="_Toc127151519"/>
      <w:bookmarkStart w:id="56" w:name="_Toc151193833"/>
      <w:bookmarkStart w:id="57" w:name="_Toc150774619"/>
      <w:bookmarkStart w:id="58" w:name="_Toc520356144"/>
      <w:bookmarkStart w:id="59" w:name="_Toc142311021"/>
      <w:bookmarkStart w:id="60" w:name="_Toc150509270"/>
      <w:bookmarkStart w:id="61" w:name="_Toc164608788"/>
      <w:bookmarkStart w:id="62" w:name="_Toc164229214"/>
      <w:bookmarkStart w:id="63" w:name="_Toc150774724"/>
      <w:bookmarkStart w:id="64" w:name="_Toc127151720"/>
      <w:bookmarkStart w:id="65" w:name="_Toc226309763"/>
      <w:bookmarkStart w:id="66" w:name="_Toc226337215"/>
      <w:bookmarkStart w:id="67" w:name="_Toc127161433"/>
      <w:bookmarkStart w:id="68" w:name="_Toc151193617"/>
      <w:bookmarkStart w:id="69" w:name="_Toc151190146"/>
      <w:r>
        <w:rPr>
          <w:rFonts w:hint="eastAsia" w:ascii="宋体" w:hAnsi="宋体" w:eastAsia="宋体" w:cs="Times New Roman"/>
          <w:b/>
          <w:bCs/>
          <w:color w:val="auto"/>
          <w:sz w:val="28"/>
          <w:szCs w:val="28"/>
          <w:highlight w:val="none"/>
          <w:lang w:val="en-US" w:eastAsia="zh-CN"/>
        </w:rPr>
        <w:t>供应商须知资料表</w:t>
      </w:r>
    </w:p>
    <w:p w14:paraId="0781F79C">
      <w:pPr>
        <w:jc w:val="center"/>
        <w:outlineLvl w:val="9"/>
        <w:rPr>
          <w:b/>
          <w:color w:val="auto"/>
          <w:sz w:val="28"/>
          <w:szCs w:val="28"/>
          <w:highlight w:val="none"/>
        </w:rPr>
      </w:pPr>
    </w:p>
    <w:p w14:paraId="6D8647DE">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本表是对供应商须知的具体补充和修改，如有矛盾，均以本资料表为准。标记“■”的选项意为适用于本项目，标记“□”的选项意为不适用于本项目。</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029B8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10AF8BD4">
            <w:pPr>
              <w:jc w:val="center"/>
              <w:outlineLvl w:val="9"/>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条款号</w:t>
            </w:r>
          </w:p>
        </w:tc>
        <w:tc>
          <w:tcPr>
            <w:tcW w:w="1701" w:type="dxa"/>
            <w:noWrap w:val="0"/>
            <w:vAlign w:val="center"/>
          </w:tcPr>
          <w:p w14:paraId="2C0018CF">
            <w:pPr>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条目</w:t>
            </w:r>
          </w:p>
        </w:tc>
        <w:tc>
          <w:tcPr>
            <w:tcW w:w="7253" w:type="dxa"/>
            <w:noWrap w:val="0"/>
            <w:vAlign w:val="center"/>
          </w:tcPr>
          <w:p w14:paraId="4ABAF41D">
            <w:pPr>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r>
      <w:tr w14:paraId="600E6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F4CE7AD">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noWrap w:val="0"/>
            <w:vAlign w:val="center"/>
          </w:tcPr>
          <w:p w14:paraId="57FD6B4D">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7253" w:type="dxa"/>
            <w:noWrap w:val="0"/>
            <w:vAlign w:val="center"/>
          </w:tcPr>
          <w:p w14:paraId="2EB483CB">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7632E3E2">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1C70B57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p w14:paraId="1FDBA2D3">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w:t>
            </w:r>
          </w:p>
        </w:tc>
      </w:tr>
      <w:tr w14:paraId="5385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618F5399">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noWrap w:val="0"/>
            <w:vAlign w:val="center"/>
          </w:tcPr>
          <w:p w14:paraId="5A23B598">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253" w:type="dxa"/>
            <w:noWrap w:val="0"/>
            <w:vAlign w:val="center"/>
          </w:tcPr>
          <w:p w14:paraId="65345D72">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5A00A427">
            <w:pPr>
              <w:jc w:val="left"/>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□组织，考察时间：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分</w:t>
            </w:r>
          </w:p>
          <w:p w14:paraId="58C442B4">
            <w:pPr>
              <w:pStyle w:val="23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56694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5D125F38">
            <w:pPr>
              <w:pStyle w:val="230"/>
              <w:jc w:val="center"/>
              <w:outlineLvl w:val="9"/>
              <w:rPr>
                <w:rFonts w:hint="eastAsia" w:ascii="宋体" w:hAnsi="宋体" w:eastAsia="宋体" w:cs="宋体"/>
                <w:color w:val="auto"/>
                <w:sz w:val="24"/>
                <w:szCs w:val="24"/>
                <w:highlight w:val="none"/>
              </w:rPr>
            </w:pPr>
          </w:p>
        </w:tc>
        <w:tc>
          <w:tcPr>
            <w:tcW w:w="1701" w:type="dxa"/>
            <w:noWrap w:val="0"/>
            <w:vAlign w:val="center"/>
          </w:tcPr>
          <w:p w14:paraId="1966D2A2">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7253" w:type="dxa"/>
            <w:noWrap w:val="0"/>
            <w:vAlign w:val="center"/>
          </w:tcPr>
          <w:p w14:paraId="32D547E4">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183C34A8">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分</w:t>
            </w:r>
          </w:p>
          <w:p w14:paraId="7F59BD3C">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3092A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988" w:type="dxa"/>
            <w:noWrap w:val="0"/>
            <w:vAlign w:val="center"/>
          </w:tcPr>
          <w:p w14:paraId="2A56ABBA">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noWrap w:val="0"/>
            <w:vAlign w:val="center"/>
          </w:tcPr>
          <w:p w14:paraId="66032121">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tc>
        <w:tc>
          <w:tcPr>
            <w:tcW w:w="7253" w:type="dxa"/>
            <w:noWrap w:val="0"/>
            <w:vAlign w:val="center"/>
          </w:tcPr>
          <w:p w14:paraId="49CCC151">
            <w:pPr>
              <w:jc w:val="left"/>
              <w:outlineLvl w:val="9"/>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批发业</w:t>
            </w:r>
            <w:r>
              <w:rPr>
                <w:rFonts w:hint="eastAsia" w:ascii="宋体" w:hAnsi="宋体" w:eastAsia="宋体" w:cs="宋体"/>
                <w:color w:val="auto"/>
                <w:sz w:val="24"/>
                <w:szCs w:val="24"/>
                <w:highlight w:val="none"/>
                <w:u w:val="single"/>
                <w:lang w:val="en-US" w:eastAsia="zh-CN"/>
              </w:rPr>
              <w:t xml:space="preserve"> </w:t>
            </w:r>
          </w:p>
        </w:tc>
      </w:tr>
      <w:tr w14:paraId="34D47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58BC5784">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noWrap w:val="0"/>
            <w:vAlign w:val="center"/>
          </w:tcPr>
          <w:p w14:paraId="7A929987">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253" w:type="dxa"/>
            <w:noWrap w:val="0"/>
            <w:vAlign w:val="center"/>
          </w:tcPr>
          <w:p w14:paraId="770F55CD">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报价的特殊规定：</w:t>
            </w:r>
          </w:p>
          <w:p w14:paraId="251505B3">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5AFF5584">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2FA63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2C2F8C">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noWrap w:val="0"/>
            <w:vAlign w:val="center"/>
          </w:tcPr>
          <w:p w14:paraId="2555DA2F">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253" w:type="dxa"/>
            <w:noWrap w:val="0"/>
            <w:vAlign w:val="center"/>
          </w:tcPr>
          <w:p w14:paraId="2E108928">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tc>
      </w:tr>
      <w:tr w14:paraId="388D1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E71178">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noWrap w:val="0"/>
            <w:vAlign w:val="center"/>
          </w:tcPr>
          <w:p w14:paraId="1B67FD8E">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7253" w:type="dxa"/>
            <w:noWrap w:val="0"/>
            <w:vAlign w:val="center"/>
          </w:tcPr>
          <w:p w14:paraId="34ACD3DB">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自提交响应文件的截止之日起算</w:t>
            </w:r>
            <w:r>
              <w:rPr>
                <w:rFonts w:hint="eastAsia" w:ascii="宋体" w:hAnsi="宋体" w:eastAsia="宋体" w:cs="宋体"/>
                <w:color w:val="auto"/>
                <w:sz w:val="24"/>
                <w:szCs w:val="24"/>
                <w:highlight w:val="none"/>
                <w:u w:val="single"/>
                <w:lang w:val="en-US" w:eastAsia="zh-CN"/>
              </w:rPr>
              <w:t xml:space="preserve"> 60 </w:t>
            </w:r>
            <w:r>
              <w:rPr>
                <w:rFonts w:hint="eastAsia" w:ascii="宋体" w:hAnsi="宋体" w:eastAsia="宋体" w:cs="宋体"/>
                <w:color w:val="auto"/>
                <w:sz w:val="24"/>
                <w:szCs w:val="24"/>
                <w:highlight w:val="none"/>
              </w:rPr>
              <w:t>日历天。</w:t>
            </w:r>
          </w:p>
        </w:tc>
      </w:tr>
      <w:tr w14:paraId="12F3B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0" w:hRule="atLeast"/>
          <w:jc w:val="center"/>
        </w:trPr>
        <w:tc>
          <w:tcPr>
            <w:tcW w:w="988" w:type="dxa"/>
            <w:noWrap w:val="0"/>
            <w:vAlign w:val="center"/>
          </w:tcPr>
          <w:p w14:paraId="5C861323">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noWrap w:val="0"/>
            <w:vAlign w:val="center"/>
          </w:tcPr>
          <w:p w14:paraId="41DAC0A5">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253" w:type="dxa"/>
            <w:noWrap w:val="0"/>
            <w:vAlign w:val="center"/>
          </w:tcPr>
          <w:p w14:paraId="79178F83">
            <w:pPr>
              <w:jc w:val="left"/>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5AA7396C">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70E1D05E">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允许，具体要求：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104E18E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3058FB69">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14:paraId="324222ED">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1DAC5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9712C9">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noWrap w:val="0"/>
            <w:vAlign w:val="center"/>
          </w:tcPr>
          <w:p w14:paraId="4A8BAA4F">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7253" w:type="dxa"/>
            <w:noWrap w:val="0"/>
            <w:vAlign w:val="center"/>
          </w:tcPr>
          <w:p w14:paraId="6DD7D268">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lang w:val="en-US" w:eastAsia="zh-CN"/>
              </w:rPr>
              <w:t xml:space="preserve"> 于202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rPr>
              <w:t>。</w:t>
            </w:r>
          </w:p>
        </w:tc>
      </w:tr>
      <w:tr w14:paraId="1F136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6D5F6E3">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noWrap w:val="0"/>
            <w:vAlign w:val="center"/>
          </w:tcPr>
          <w:p w14:paraId="2E60720A">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7253" w:type="dxa"/>
            <w:noWrap w:val="0"/>
            <w:vAlign w:val="center"/>
          </w:tcPr>
          <w:p w14:paraId="66BB3639">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35E2BA9E">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王涛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7FCBB0">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0519-88818292-（8000）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530777">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常州市新北区嵩山路1-301号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75AB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372BF88">
            <w:pPr>
              <w:pStyle w:val="23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noWrap w:val="0"/>
            <w:vAlign w:val="center"/>
          </w:tcPr>
          <w:p w14:paraId="1CAA8C22">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7253" w:type="dxa"/>
            <w:noWrap w:val="0"/>
            <w:vAlign w:val="center"/>
          </w:tcPr>
          <w:p w14:paraId="2C7CE756">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0305FD9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14:paraId="704DC4C5">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w:t>
            </w:r>
          </w:p>
          <w:p w14:paraId="777F53B7">
            <w:pPr>
              <w:jc w:val="left"/>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收费标准：</w:t>
            </w:r>
            <w:r>
              <w:rPr>
                <w:rFonts w:hint="eastAsia" w:ascii="宋体" w:hAnsi="宋体" w:eastAsia="宋体" w:cs="宋体"/>
                <w:color w:val="auto"/>
                <w:sz w:val="24"/>
                <w:szCs w:val="24"/>
                <w:highlight w:val="none"/>
                <w:u w:val="single"/>
              </w:rPr>
              <w:t xml:space="preserve"> 收费比例按差额定率分档累进法计算，收费差额费率：成交金额在100万元(含)以下的为1.5%，成交金额在100万元（不含）至500万元（含）的为0.8%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p>
          <w:p w14:paraId="617C2E82">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缴纳时间：</w:t>
            </w:r>
            <w:r>
              <w:rPr>
                <w:rFonts w:hint="eastAsia" w:ascii="宋体" w:hAnsi="宋体" w:eastAsia="宋体" w:cs="宋体"/>
                <w:color w:val="auto"/>
                <w:sz w:val="24"/>
                <w:szCs w:val="24"/>
                <w:highlight w:val="none"/>
                <w:u w:val="single"/>
              </w:rPr>
              <w:t xml:space="preserve"> 成交供应商应在领取成交通知书时将成交服务费付至采购代理机构的</w:t>
            </w:r>
            <w:r>
              <w:rPr>
                <w:rFonts w:hint="eastAsia" w:ascii="宋体" w:hAnsi="宋体" w:eastAsia="宋体" w:cs="宋体"/>
                <w:color w:val="auto"/>
                <w:sz w:val="24"/>
                <w:szCs w:val="24"/>
                <w:highlight w:val="none"/>
                <w:u w:val="single"/>
                <w:lang w:eastAsia="zh-CN"/>
              </w:rPr>
              <w:t>账</w:t>
            </w:r>
            <w:r>
              <w:rPr>
                <w:rFonts w:hint="eastAsia" w:ascii="宋体" w:hAnsi="宋体" w:eastAsia="宋体" w:cs="宋体"/>
                <w:color w:val="auto"/>
                <w:sz w:val="24"/>
                <w:szCs w:val="24"/>
                <w:highlight w:val="none"/>
                <w:u w:val="single"/>
              </w:rPr>
              <w:t xml:space="preserve">户并备注项目编号 </w:t>
            </w:r>
            <w:r>
              <w:rPr>
                <w:rFonts w:hint="eastAsia" w:ascii="宋体" w:hAnsi="宋体" w:eastAsia="宋体" w:cs="宋体"/>
                <w:color w:val="auto"/>
                <w:sz w:val="24"/>
                <w:szCs w:val="24"/>
                <w:highlight w:val="none"/>
              </w:rPr>
              <w:t>。</w:t>
            </w:r>
          </w:p>
          <w:p w14:paraId="6BD92405">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收款单位：江苏尚阳工程管理有限公司</w:t>
            </w:r>
          </w:p>
          <w:p w14:paraId="3213F8A5">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银行账号：406010100100626575</w:t>
            </w:r>
          </w:p>
          <w:p w14:paraId="06985261">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开户银行：兴业银行股份有限公司常州分行</w:t>
            </w:r>
          </w:p>
          <w:p w14:paraId="55BF5B38">
            <w:pPr>
              <w:jc w:val="left"/>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代理服务费支付说明及原因：</w:t>
            </w:r>
          </w:p>
          <w:p w14:paraId="04EAAB09">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1.支付依据：根据《政府采购代理机构管理暂行办法》第十五条规定，代理费用可以由中标、成交供应商支付。本项目经采购人与采购代理机构在《委托代理协议》中约定，代理服务费由中标/成交供应商支付。</w:t>
            </w:r>
          </w:p>
          <w:p w14:paraId="0E359A85">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2.定价原则：本项目代理服务费遵循市场调节原则，由采购人与代理机构根据项目特点、服务成本及市场行情协商确定收费标准。</w:t>
            </w:r>
          </w:p>
          <w:p w14:paraId="0E099DA3">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p>
        </w:tc>
      </w:tr>
      <w:tr w14:paraId="447FF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CD06EE">
            <w:pPr>
              <w:pStyle w:val="341"/>
              <w:jc w:val="center"/>
              <w:rPr>
                <w:rFonts w:hint="eastAsia" w:ascii="宋体" w:hAnsi="宋体" w:eastAsia="宋体" w:cs="宋体"/>
                <w:color w:val="auto"/>
                <w:sz w:val="24"/>
                <w:szCs w:val="24"/>
                <w:highlight w:val="none"/>
              </w:rPr>
            </w:pPr>
            <w:r>
              <w:rPr>
                <w:color w:val="auto"/>
                <w:sz w:val="24"/>
                <w:szCs w:val="24"/>
                <w:highlight w:val="none"/>
                <w:rtl w:val="0"/>
                <w:lang w:val="en-US"/>
              </w:rPr>
              <w:t>26</w:t>
            </w:r>
          </w:p>
        </w:tc>
        <w:tc>
          <w:tcPr>
            <w:tcW w:w="1701" w:type="dxa"/>
            <w:noWrap w:val="0"/>
            <w:vAlign w:val="center"/>
          </w:tcPr>
          <w:p w14:paraId="147F47CD">
            <w:pPr>
              <w:pStyle w:val="35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tl w:val="0"/>
                <w:lang w:val="zh-TW" w:eastAsia="zh-TW"/>
              </w:rPr>
              <w:t>电子系统意外情况处理条款</w:t>
            </w:r>
          </w:p>
        </w:tc>
        <w:tc>
          <w:tcPr>
            <w:tcW w:w="7253" w:type="dxa"/>
            <w:noWrap w:val="0"/>
            <w:vAlign w:val="center"/>
          </w:tcPr>
          <w:p w14:paraId="4DBB7ABC">
            <w:pPr>
              <w:pStyle w:val="35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tl w:val="0"/>
                <w:lang w:val="zh-TW" w:eastAsia="zh-TW"/>
              </w:rPr>
              <w:t>为确保本项目电子化采购活动顺利进行，防范化解采购风险，特制定相关情形处置举措。所有潜在</w:t>
            </w:r>
            <w:r>
              <w:rPr>
                <w:rFonts w:hint="eastAsia" w:ascii="宋体" w:hAnsi="宋体" w:eastAsia="宋体" w:cs="宋体"/>
                <w:color w:val="auto"/>
                <w:sz w:val="24"/>
                <w:szCs w:val="24"/>
                <w:highlight w:val="none"/>
                <w:rtl w:val="0"/>
                <w:lang w:val="zh-TW" w:eastAsia="zh-CN"/>
              </w:rPr>
              <w:t>供应商</w:t>
            </w:r>
            <w:r>
              <w:rPr>
                <w:rFonts w:ascii="宋体" w:hAnsi="宋体" w:eastAsia="宋体" w:cs="宋体"/>
                <w:color w:val="auto"/>
                <w:sz w:val="24"/>
                <w:szCs w:val="24"/>
                <w:highlight w:val="none"/>
                <w:rtl w:val="0"/>
                <w:lang w:val="zh-TW" w:eastAsia="zh-TW"/>
              </w:rPr>
              <w:t>及参与各方均应知悉并遵守以下规定：</w:t>
            </w:r>
          </w:p>
          <w:p w14:paraId="77DB7F0C">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1.</w:t>
            </w:r>
            <w:r>
              <w:rPr>
                <w:rFonts w:ascii="宋体" w:hAnsi="宋体" w:eastAsia="宋体" w:cs="宋体"/>
                <w:color w:val="auto"/>
                <w:sz w:val="24"/>
                <w:szCs w:val="24"/>
                <w:highlight w:val="none"/>
                <w:rtl w:val="0"/>
                <w:lang w:val="zh-TW" w:eastAsia="zh-TW"/>
              </w:rPr>
              <w:t>意外情况定义：本条款所称</w:t>
            </w:r>
            <w:r>
              <w:rPr>
                <w:rFonts w:ascii="宋体" w:hAnsi="宋体" w:eastAsia="宋体" w:cs="宋体"/>
                <w:color w:val="auto"/>
                <w:sz w:val="24"/>
                <w:szCs w:val="24"/>
                <w:highlight w:val="none"/>
                <w:rtl w:val="0"/>
                <w:lang w:val="en-US"/>
              </w:rPr>
              <w:t>“</w:t>
            </w:r>
            <w:r>
              <w:rPr>
                <w:rFonts w:ascii="宋体" w:hAnsi="宋体" w:eastAsia="宋体" w:cs="宋体"/>
                <w:color w:val="auto"/>
                <w:sz w:val="24"/>
                <w:szCs w:val="24"/>
                <w:highlight w:val="none"/>
                <w:rtl w:val="0"/>
                <w:lang w:val="zh-TW" w:eastAsia="zh-TW"/>
              </w:rPr>
              <w:t>电子交易系统无法访问等意外情况</w:t>
            </w:r>
            <w:r>
              <w:rPr>
                <w:rFonts w:ascii="宋体" w:hAnsi="宋体" w:eastAsia="宋体" w:cs="宋体"/>
                <w:color w:val="auto"/>
                <w:sz w:val="24"/>
                <w:szCs w:val="24"/>
                <w:highlight w:val="none"/>
                <w:rtl w:val="0"/>
                <w:lang w:val="en-US"/>
              </w:rPr>
              <w:t>”</w:t>
            </w:r>
            <w:r>
              <w:rPr>
                <w:rFonts w:ascii="宋体" w:hAnsi="宋体" w:eastAsia="宋体" w:cs="宋体"/>
                <w:color w:val="auto"/>
                <w:sz w:val="24"/>
                <w:szCs w:val="24"/>
                <w:highlight w:val="none"/>
                <w:rtl w:val="0"/>
                <w:lang w:val="zh-TW" w:eastAsia="zh-TW"/>
              </w:rPr>
              <w:t>，是指在政府采购电子交易平台使用过程中，出现包括但不限于网络中断、服务器故障、应用软件或数据库错误等情形，导致采购活动无法正常进行。</w:t>
            </w:r>
          </w:p>
          <w:p w14:paraId="07FFCC9B">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2.</w:t>
            </w:r>
            <w:r>
              <w:rPr>
                <w:rFonts w:ascii="宋体" w:hAnsi="宋体" w:eastAsia="宋体" w:cs="宋体"/>
                <w:color w:val="auto"/>
                <w:sz w:val="24"/>
                <w:szCs w:val="24"/>
                <w:highlight w:val="none"/>
                <w:rtl w:val="0"/>
                <w:lang w:val="zh-TW" w:eastAsia="zh-TW"/>
              </w:rPr>
              <w:t>开标前环节故障处置：在供应商报名、投标（响应）文件上传、投标（响应）文件解密及唱标环节等开标活动开始前的任何环节出现系统无法访问的情形，采购代理机构将按照以下原则处置：</w:t>
            </w:r>
          </w:p>
          <w:p w14:paraId="12E1B31B">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（一）若故障可在短时间内排除，采购代理机构将等待系统修复后，继续开展采购活动。</w:t>
            </w:r>
          </w:p>
          <w:p w14:paraId="5B88885C">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（二）若故障无法在预定开标时间前排除，或故障情况严重影响公平竞争，采购代理机构将通过发布更正公告推迟开标。</w:t>
            </w:r>
          </w:p>
          <w:p w14:paraId="35A115B6">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（三）若因故障导致有效</w:t>
            </w:r>
            <w:r>
              <w:rPr>
                <w:rFonts w:hint="eastAsia" w:ascii="宋体" w:hAnsi="宋体" w:eastAsia="宋体" w:cs="宋体"/>
                <w:color w:val="auto"/>
                <w:sz w:val="24"/>
                <w:szCs w:val="24"/>
                <w:highlight w:val="none"/>
                <w:rtl w:val="0"/>
                <w:lang w:val="zh-TW" w:eastAsia="zh-CN"/>
              </w:rPr>
              <w:t>供应商</w:t>
            </w:r>
            <w:r>
              <w:rPr>
                <w:rFonts w:ascii="宋体" w:hAnsi="宋体" w:eastAsia="宋体" w:cs="宋体"/>
                <w:color w:val="auto"/>
                <w:sz w:val="24"/>
                <w:szCs w:val="24"/>
                <w:highlight w:val="none"/>
                <w:rtl w:val="0"/>
                <w:lang w:val="zh-TW" w:eastAsia="zh-TW"/>
              </w:rPr>
              <w:t>不足法定家数或出现其他法定废标情形，采购代理机构将发布废标（终止）公告，重新开展采购活动。</w:t>
            </w:r>
          </w:p>
          <w:p w14:paraId="7B0976C0">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特别说明：本项目投标（响应）文件递交方式以</w:t>
            </w:r>
            <w:r>
              <w:rPr>
                <w:rFonts w:hint="eastAsia" w:ascii="宋体" w:hAnsi="宋体" w:eastAsia="宋体" w:cs="宋体"/>
                <w:color w:val="auto"/>
                <w:sz w:val="24"/>
                <w:szCs w:val="24"/>
                <w:highlight w:val="none"/>
                <w:rtl w:val="0"/>
                <w:lang w:val="zh-TW" w:eastAsia="zh-CN"/>
              </w:rPr>
              <w:t>竞争性磋商文件</w:t>
            </w:r>
            <w:r>
              <w:rPr>
                <w:rFonts w:ascii="宋体" w:hAnsi="宋体" w:eastAsia="宋体" w:cs="宋体"/>
                <w:color w:val="auto"/>
                <w:sz w:val="24"/>
                <w:szCs w:val="24"/>
                <w:highlight w:val="none"/>
                <w:rtl w:val="0"/>
                <w:lang w:val="zh-TW" w:eastAsia="zh-TW"/>
              </w:rPr>
              <w:t>载明为准。在电子系统发生故障时，采购代理机构仅依据上述程序处理，不接受任何现场提交的纸质、</w:t>
            </w:r>
            <w:r>
              <w:rPr>
                <w:rFonts w:ascii="宋体" w:hAnsi="宋体" w:eastAsia="宋体" w:cs="宋体"/>
                <w:color w:val="auto"/>
                <w:sz w:val="24"/>
                <w:szCs w:val="24"/>
                <w:highlight w:val="none"/>
                <w:rtl w:val="0"/>
                <w:lang w:val="en-US"/>
              </w:rPr>
              <w:t>U</w:t>
            </w:r>
            <w:r>
              <w:rPr>
                <w:rFonts w:ascii="宋体" w:hAnsi="宋体" w:eastAsia="宋体" w:cs="宋体"/>
                <w:color w:val="auto"/>
                <w:sz w:val="24"/>
                <w:szCs w:val="24"/>
                <w:highlight w:val="none"/>
                <w:rtl w:val="0"/>
                <w:lang w:val="zh-TW" w:eastAsia="zh-TW"/>
              </w:rPr>
              <w:t>盘等非</w:t>
            </w:r>
            <w:r>
              <w:rPr>
                <w:rFonts w:hint="eastAsia" w:ascii="宋体" w:hAnsi="宋体" w:eastAsia="宋体" w:cs="宋体"/>
                <w:color w:val="auto"/>
                <w:sz w:val="24"/>
                <w:szCs w:val="24"/>
                <w:highlight w:val="none"/>
                <w:rtl w:val="0"/>
                <w:lang w:val="zh-TW" w:eastAsia="zh-CN"/>
              </w:rPr>
              <w:t>竞争性磋商文件</w:t>
            </w:r>
            <w:r>
              <w:rPr>
                <w:rFonts w:ascii="宋体" w:hAnsi="宋体" w:eastAsia="宋体" w:cs="宋体"/>
                <w:color w:val="auto"/>
                <w:sz w:val="24"/>
                <w:szCs w:val="24"/>
                <w:highlight w:val="none"/>
                <w:rtl w:val="0"/>
                <w:lang w:val="zh-TW" w:eastAsia="zh-TW"/>
              </w:rPr>
              <w:t>规定的投标（响应）文件。</w:t>
            </w:r>
          </w:p>
          <w:p w14:paraId="364269F8">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3.</w:t>
            </w:r>
            <w:r>
              <w:rPr>
                <w:rFonts w:ascii="宋体" w:hAnsi="宋体" w:eastAsia="宋体" w:cs="宋体"/>
                <w:color w:val="auto"/>
                <w:sz w:val="24"/>
                <w:szCs w:val="24"/>
                <w:highlight w:val="none"/>
                <w:rtl w:val="0"/>
                <w:lang w:val="zh-TW" w:eastAsia="zh-TW"/>
              </w:rPr>
              <w:t>评审过程中故障处置：在评审委员会组建后至评审报告出具前的评审过程中出现系统无法访问的情形，采购代理机构将按照以下原则处置：</w:t>
            </w:r>
          </w:p>
          <w:p w14:paraId="128B50A6">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（一）立即暂停评审：采购代理机构将立即宣布暂停评审活动，并采取必要措施封存所有投标（响应）文件及评审记录。</w:t>
            </w:r>
          </w:p>
          <w:p w14:paraId="370203F0">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（二）处置方案：视故障排除情况，采购代理机构将选择：</w:t>
            </w:r>
          </w:p>
          <w:p w14:paraId="6C3DB0AC">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1.</w:t>
            </w:r>
            <w:r>
              <w:rPr>
                <w:rFonts w:ascii="宋体" w:hAnsi="宋体" w:eastAsia="宋体" w:cs="宋体"/>
                <w:color w:val="auto"/>
                <w:sz w:val="24"/>
                <w:szCs w:val="24"/>
                <w:highlight w:val="none"/>
                <w:rtl w:val="0"/>
                <w:lang w:val="zh-TW" w:eastAsia="zh-TW"/>
              </w:rPr>
              <w:t>若故障可在短时间内排除，采购代理机构将等待系统修复后，由原评审委员会继续完成评审；</w:t>
            </w:r>
          </w:p>
          <w:p w14:paraId="5E71707A">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2. </w:t>
            </w:r>
            <w:r>
              <w:rPr>
                <w:rFonts w:ascii="宋体" w:hAnsi="宋体" w:eastAsia="宋体" w:cs="宋体"/>
                <w:color w:val="auto"/>
                <w:sz w:val="24"/>
                <w:szCs w:val="24"/>
                <w:highlight w:val="none"/>
                <w:rtl w:val="0"/>
                <w:lang w:val="zh-TW" w:eastAsia="zh-TW"/>
              </w:rPr>
              <w:t>若故障无法在当日排除，或故障导致评审无法公正进行，将发布废标（终止）公告，重新开展采购活动；</w:t>
            </w:r>
          </w:p>
          <w:p w14:paraId="570F89A0">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3.</w:t>
            </w:r>
            <w:r>
              <w:rPr>
                <w:rFonts w:ascii="宋体" w:hAnsi="宋体" w:eastAsia="宋体" w:cs="宋体"/>
                <w:color w:val="auto"/>
                <w:sz w:val="24"/>
                <w:szCs w:val="24"/>
                <w:highlight w:val="none"/>
                <w:rtl w:val="0"/>
                <w:lang w:val="zh-TW" w:eastAsia="zh-TW"/>
              </w:rPr>
              <w:t>若需在第二日继续评审，采购代理机构将重新从政府采购评审专家库中抽取专家，组建新的评审委员会，在系统修复后继续评审活动。</w:t>
            </w:r>
          </w:p>
          <w:p w14:paraId="38D7A437">
            <w:pPr>
              <w:pStyle w:val="350"/>
              <w:bidi w:val="0"/>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p>
          <w:p w14:paraId="0F8B766E">
            <w:pPr>
              <w:pStyle w:val="350"/>
              <w:bidi w:val="0"/>
              <w:ind w:left="0" w:leftChars="0" w:right="0" w:rightChars="0" w:firstLine="0" w:firstLineChars="0"/>
              <w:jc w:val="left"/>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u w:val="none"/>
                <w:rtl w:val="0"/>
                <w:lang w:val="zh-TW" w:eastAsia="zh-TW"/>
              </w:rPr>
              <w:t>（四）供应商责任：供应商有责任确保自身网络环境、设备及数字证书（</w:t>
            </w:r>
            <w:r>
              <w:rPr>
                <w:rFonts w:ascii="宋体" w:hAnsi="宋体" w:eastAsia="宋体" w:cs="宋体"/>
                <w:color w:val="auto"/>
                <w:sz w:val="24"/>
                <w:szCs w:val="24"/>
                <w:highlight w:val="none"/>
                <w:u w:val="none"/>
                <w:rtl w:val="0"/>
                <w:lang w:val="en-US"/>
              </w:rPr>
              <w:t>CA</w:t>
            </w:r>
            <w:r>
              <w:rPr>
                <w:rFonts w:ascii="宋体" w:hAnsi="宋体" w:eastAsia="宋体" w:cs="宋体"/>
                <w:color w:val="auto"/>
                <w:sz w:val="24"/>
                <w:szCs w:val="24"/>
                <w:highlight w:val="none"/>
                <w:u w:val="none"/>
                <w:rtl w:val="0"/>
                <w:lang w:val="zh-TW" w:eastAsia="zh-TW"/>
              </w:rPr>
              <w:t>）的正常，并在</w:t>
            </w:r>
            <w:r>
              <w:rPr>
                <w:rFonts w:hint="eastAsia" w:ascii="宋体" w:hAnsi="宋体" w:eastAsia="宋体" w:cs="宋体"/>
                <w:color w:val="auto"/>
                <w:sz w:val="24"/>
                <w:szCs w:val="24"/>
                <w:highlight w:val="none"/>
                <w:u w:val="none"/>
                <w:rtl w:val="0"/>
                <w:lang w:val="zh-TW" w:eastAsia="zh-CN"/>
              </w:rPr>
              <w:t>竞争性磋商文件</w:t>
            </w:r>
            <w:r>
              <w:rPr>
                <w:rFonts w:ascii="宋体" w:hAnsi="宋体" w:eastAsia="宋体" w:cs="宋体"/>
                <w:color w:val="auto"/>
                <w:sz w:val="24"/>
                <w:szCs w:val="24"/>
                <w:highlight w:val="none"/>
                <w:u w:val="none"/>
                <w:rtl w:val="0"/>
                <w:lang w:val="zh-TW" w:eastAsia="zh-TW"/>
              </w:rPr>
              <w:t>规定的期限内完成文件上传、解密等操作。因供应商自身原因导致的操作失败，不适用本意外情况处理条款。</w:t>
            </w:r>
          </w:p>
        </w:tc>
      </w:tr>
    </w:tbl>
    <w:p w14:paraId="1C7EF101">
      <w:pPr>
        <w:tabs>
          <w:tab w:val="left" w:pos="5580"/>
        </w:tabs>
        <w:spacing w:line="360" w:lineRule="auto"/>
        <w:jc w:val="both"/>
        <w:outlineLvl w:val="9"/>
        <w:rPr>
          <w:color w:val="auto"/>
          <w:sz w:val="24"/>
          <w:highlight w:val="none"/>
        </w:rPr>
        <w:sectPr>
          <w:pgSz w:w="11907" w:h="16840"/>
          <w:pgMar w:top="1418" w:right="1134" w:bottom="1418" w:left="1701" w:header="851" w:footer="851" w:gutter="0"/>
          <w:pgNumType w:fmt="decimal"/>
          <w:cols w:space="1701" w:num="1"/>
          <w:titlePg/>
          <w:docGrid w:linePitch="360" w:charSpace="0"/>
        </w:sectPr>
      </w:pPr>
    </w:p>
    <w:p w14:paraId="6EAA85CE">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供应商须知</w:t>
      </w:r>
    </w:p>
    <w:p w14:paraId="4B9DCE98">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70" w:name="_Toc520356143"/>
      <w:bookmarkStart w:id="71" w:name="_Toc150480756"/>
      <w:bookmarkStart w:id="72" w:name="_Toc226309762"/>
      <w:bookmarkStart w:id="73" w:name="_Toc151190145"/>
      <w:bookmarkStart w:id="74" w:name="_Toc195842883"/>
      <w:bookmarkStart w:id="75" w:name="_Toc226965708"/>
      <w:bookmarkStart w:id="76" w:name="_Toc305158786"/>
      <w:bookmarkStart w:id="77" w:name="_Toc150509269"/>
      <w:bookmarkStart w:id="78" w:name="_Toc151193760"/>
      <w:bookmarkStart w:id="79" w:name="_Toc127151518"/>
      <w:bookmarkStart w:id="80" w:name="_Toc226337214"/>
      <w:bookmarkStart w:id="81" w:name="_Toc150774618"/>
      <w:bookmarkStart w:id="82" w:name="_Toc142311020"/>
      <w:bookmarkStart w:id="83" w:name="_Toc151193616"/>
      <w:bookmarkStart w:id="84" w:name="_Toc226965791"/>
      <w:bookmarkStart w:id="85" w:name="_Toc305158860"/>
      <w:bookmarkStart w:id="86" w:name="_Toc151193688"/>
      <w:bookmarkStart w:id="87" w:name="_Toc151193906"/>
      <w:bookmarkStart w:id="88" w:name="_Toc150774723"/>
      <w:bookmarkStart w:id="89" w:name="_Toc264969208"/>
      <w:bookmarkStart w:id="90" w:name="_Toc265228356"/>
      <w:bookmarkStart w:id="91" w:name="_Toc151193832"/>
      <w:r>
        <w:rPr>
          <w:rFonts w:hint="eastAsia" w:ascii="宋体" w:hAnsi="宋体" w:eastAsia="宋体" w:cs="Times New Roman"/>
          <w:b/>
          <w:bCs/>
          <w:color w:val="auto"/>
          <w:sz w:val="28"/>
          <w:szCs w:val="28"/>
          <w:highlight w:val="none"/>
          <w:lang w:val="en-US" w:eastAsia="zh-CN"/>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DAFF094">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92" w:name="_Toc264969209"/>
      <w:bookmarkStart w:id="93" w:name="_Toc305158787"/>
      <w:bookmarkStart w:id="94" w:name="_Toc265228357"/>
      <w:bookmarkStart w:id="95" w:name="_Toc305158861"/>
      <w:r>
        <w:rPr>
          <w:rFonts w:hint="eastAsia" w:ascii="宋体" w:hAnsi="宋体" w:eastAsia="宋体" w:cs="宋体"/>
          <w:color w:val="auto"/>
          <w:sz w:val="24"/>
          <w:szCs w:val="24"/>
          <w:highlight w:val="none"/>
        </w:rPr>
        <w:t>采购人、采购代理机构、供应商</w:t>
      </w:r>
      <w:bookmarkEnd w:id="92"/>
      <w:bookmarkEnd w:id="93"/>
      <w:bookmarkEnd w:id="94"/>
      <w:bookmarkEnd w:id="95"/>
      <w:r>
        <w:rPr>
          <w:rFonts w:hint="eastAsia" w:ascii="宋体" w:hAnsi="宋体" w:eastAsia="宋体" w:cs="宋体"/>
          <w:color w:val="auto"/>
          <w:sz w:val="24"/>
          <w:szCs w:val="24"/>
          <w:highlight w:val="none"/>
        </w:rPr>
        <w:t>、联合体</w:t>
      </w:r>
    </w:p>
    <w:p w14:paraId="2AD072EB">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采购人、采购代理机构：指依法进行政府采购的国家机关、事业单位、团体组织，及其委托的采购代理机构。本项目采购人、采购代理机构见第一章《采购邀请》。</w:t>
      </w:r>
    </w:p>
    <w:p w14:paraId="0962BDC9">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供应商（也称“申请人”）：指向采购人提供货物、工程或者服务的法人、其他组织或者自然人。</w:t>
      </w:r>
    </w:p>
    <w:p w14:paraId="3DB17126">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联合体：指两个以上的自然人、法人或者其他组织组成一个联合体，以一个供应商的身份共同参加政府采购。</w:t>
      </w:r>
    </w:p>
    <w:p w14:paraId="3277B5FF">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96" w:name="_Toc264969210"/>
      <w:bookmarkStart w:id="97" w:name="_Toc150480758"/>
      <w:bookmarkStart w:id="98" w:name="_Toc226309764"/>
      <w:bookmarkStart w:id="99" w:name="_Toc164608789"/>
      <w:bookmarkStart w:id="100" w:name="_Toc195842885"/>
      <w:bookmarkStart w:id="101" w:name="_Toc164229361"/>
      <w:bookmarkStart w:id="102" w:name="_Toc226337216"/>
      <w:bookmarkStart w:id="103" w:name="_Toc127161434"/>
      <w:bookmarkStart w:id="104" w:name="_Toc150774725"/>
      <w:bookmarkStart w:id="105" w:name="_Toc151193618"/>
      <w:bookmarkStart w:id="106" w:name="_Toc151193834"/>
      <w:bookmarkStart w:id="107" w:name="_Toc305158862"/>
      <w:bookmarkStart w:id="108" w:name="_Toc151193762"/>
      <w:bookmarkStart w:id="109" w:name="_Toc150509271"/>
      <w:bookmarkStart w:id="110" w:name="_Toc226965793"/>
      <w:bookmarkStart w:id="111" w:name="_Toc127151520"/>
      <w:bookmarkStart w:id="112" w:name="_Toc150774620"/>
      <w:bookmarkStart w:id="113" w:name="_Toc142311022"/>
      <w:bookmarkStart w:id="114" w:name="_Toc164351614"/>
      <w:bookmarkStart w:id="115" w:name="_Toc164608634"/>
      <w:bookmarkStart w:id="116" w:name="_Toc127151721"/>
      <w:bookmarkStart w:id="117" w:name="_Toc164229215"/>
      <w:bookmarkStart w:id="118" w:name="_Toc149720813"/>
      <w:bookmarkStart w:id="119" w:name="_Toc305158788"/>
      <w:bookmarkStart w:id="120" w:name="_Toc151193908"/>
      <w:bookmarkStart w:id="121" w:name="_Toc151193690"/>
      <w:bookmarkStart w:id="122" w:name="_Toc265228358"/>
      <w:bookmarkStart w:id="123" w:name="_Toc226965710"/>
      <w:bookmarkStart w:id="124" w:name="_Toc151190147"/>
      <w:r>
        <w:rPr>
          <w:rFonts w:hint="eastAsia" w:ascii="宋体" w:hAnsi="宋体" w:eastAsia="宋体" w:cs="宋体"/>
          <w:color w:val="auto"/>
          <w:sz w:val="24"/>
          <w:szCs w:val="24"/>
          <w:highlight w:val="none"/>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hint="eastAsia" w:ascii="宋体" w:hAnsi="宋体" w:eastAsia="宋体" w:cs="宋体"/>
          <w:color w:val="auto"/>
          <w:sz w:val="24"/>
          <w:szCs w:val="24"/>
          <w:highlight w:val="none"/>
        </w:rPr>
        <w:t>、项目属性、科研仪器设备采购</w:t>
      </w:r>
    </w:p>
    <w:p w14:paraId="662F3269">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资金来源为财政性资金和/或本项目采购中无法与财政性资金分割的非财政性资金。</w:t>
      </w:r>
    </w:p>
    <w:p w14:paraId="5EC2839F">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项目属性见《供应商须知资料表》。</w:t>
      </w:r>
    </w:p>
    <w:p w14:paraId="4FF1F1B0">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是否属于科研仪器设备采购见《供应商须知资料表》。</w:t>
      </w:r>
    </w:p>
    <w:p w14:paraId="08B2E357">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现场考察、磋商前答疑会</w:t>
      </w:r>
    </w:p>
    <w:p w14:paraId="17C8BBB9">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若《供应商须知资料表》中规定了组织现场考察、召开磋商前答疑会，则供应商应按要求在规定的时间和地点参加。</w:t>
      </w:r>
      <w:bookmarkStart w:id="125" w:name="_Toc150774727"/>
      <w:bookmarkStart w:id="126" w:name="_Toc127151522"/>
      <w:bookmarkStart w:id="127" w:name="_Toc150774622"/>
      <w:bookmarkStart w:id="128" w:name="_Toc305158790"/>
      <w:bookmarkStart w:id="129" w:name="_Toc226309766"/>
      <w:bookmarkStart w:id="130" w:name="_Toc151193910"/>
      <w:bookmarkStart w:id="131" w:name="_Toc151190149"/>
      <w:bookmarkStart w:id="132" w:name="_Toc305158864"/>
      <w:bookmarkStart w:id="133" w:name="_Toc150480760"/>
      <w:bookmarkStart w:id="134" w:name="_Toc520356146"/>
      <w:bookmarkStart w:id="135" w:name="_Toc264969212"/>
      <w:bookmarkStart w:id="136" w:name="_Toc151193836"/>
      <w:bookmarkStart w:id="137" w:name="_Toc226965795"/>
      <w:bookmarkStart w:id="138" w:name="_Toc151193620"/>
      <w:bookmarkStart w:id="139" w:name="_Toc142311024"/>
      <w:bookmarkStart w:id="140" w:name="_Toc150509273"/>
      <w:bookmarkStart w:id="141" w:name="_Toc151193692"/>
      <w:bookmarkStart w:id="142" w:name="_Toc226965712"/>
      <w:bookmarkStart w:id="143" w:name="_Toc226337218"/>
      <w:bookmarkStart w:id="144" w:name="_Toc195842887"/>
      <w:bookmarkStart w:id="145" w:name="_Toc265228360"/>
      <w:bookmarkStart w:id="146" w:name="_Toc151193764"/>
    </w:p>
    <w:p w14:paraId="02CA1BB9">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由于未参加现场考察或磋商前答疑会而导致对项目实际情况不了解，影响响应文件编制、报价准确性、综合因素响应不全面等问题的，由供应商自行承担不利评审后果。</w:t>
      </w:r>
    </w:p>
    <w:p w14:paraId="0BA0EF28">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政府采购政策（包括但不限于下列具体政策要求）</w:t>
      </w:r>
    </w:p>
    <w:p w14:paraId="7E16B75E">
      <w:pPr>
        <w:keepNext w:val="0"/>
        <w:keepLines w:val="0"/>
        <w:pageBreakBefore w:val="0"/>
        <w:widowControl w:val="0"/>
        <w:numPr>
          <w:ilvl w:val="0"/>
          <w:numId w:val="0"/>
        </w:numPr>
        <w:tabs>
          <w:tab w:val="left" w:pos="1080"/>
          <w:tab w:val="left" w:pos="2014"/>
        </w:tabs>
        <w:spacing w:line="360" w:lineRule="auto"/>
        <w:ind w:left="360" w:leftChars="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rPr>
        <w:t>中小企业、监狱企业及残疾人福利性单位</w:t>
      </w:r>
    </w:p>
    <w:p w14:paraId="1225CF05">
      <w:pPr>
        <w:keepNext w:val="0"/>
        <w:keepLines w:val="0"/>
        <w:pageBreakBefore w:val="0"/>
        <w:widowControl w:val="0"/>
        <w:numPr>
          <w:ilvl w:val="0"/>
          <w:numId w:val="0"/>
        </w:numPr>
        <w:spacing w:line="360" w:lineRule="auto"/>
        <w:ind w:left="1080" w:leftChars="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w:t>
      </w:r>
      <w:r>
        <w:rPr>
          <w:rFonts w:hint="eastAsia" w:ascii="宋体" w:hAnsi="宋体" w:eastAsia="宋体" w:cs="宋体"/>
          <w:color w:val="auto"/>
          <w:sz w:val="24"/>
          <w:szCs w:val="24"/>
          <w:highlight w:val="none"/>
        </w:rPr>
        <w:t>中小企业定义：</w:t>
      </w:r>
    </w:p>
    <w:p w14:paraId="17ADEE9C">
      <w:pPr>
        <w:pStyle w:val="30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F936072">
      <w:pPr>
        <w:pStyle w:val="30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C5A6E19">
      <w:pPr>
        <w:pStyle w:val="30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6FED724B">
      <w:pPr>
        <w:pStyle w:val="307"/>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45ADBDB1">
      <w:pPr>
        <w:pStyle w:val="307"/>
        <w:keepNext w:val="0"/>
        <w:keepLines w:val="0"/>
        <w:pageBreakBefore w:val="0"/>
        <w:widowControl w:val="0"/>
        <w:numPr>
          <w:ilvl w:val="1"/>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0DE2A465">
      <w:pPr>
        <w:pStyle w:val="307"/>
        <w:keepNext w:val="0"/>
        <w:keepLines w:val="0"/>
        <w:pageBreakBefore w:val="0"/>
        <w:widowControl w:val="0"/>
        <w:numPr>
          <w:ilvl w:val="1"/>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EB539A9">
      <w:pPr>
        <w:pStyle w:val="307"/>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55036D10">
      <w:pPr>
        <w:keepNext w:val="0"/>
        <w:keepLines w:val="0"/>
        <w:pageBreakBefore w:val="0"/>
        <w:widowControl w:val="0"/>
        <w:numPr>
          <w:ilvl w:val="0"/>
          <w:numId w:val="0"/>
        </w:numPr>
        <w:tabs>
          <w:tab w:val="left" w:pos="1980"/>
          <w:tab w:val="left" w:pos="2035"/>
          <w:tab w:val="left" w:pos="2885"/>
          <w:tab w:val="left" w:pos="2977"/>
        </w:tabs>
        <w:spacing w:line="360" w:lineRule="auto"/>
        <w:ind w:firstLine="720" w:firstLineChars="3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4.1.1.1</w:t>
      </w: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FD5A41C">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4.1.1.2</w:t>
      </w:r>
      <w:r>
        <w:rPr>
          <w:rFonts w:hint="eastAsia" w:ascii="宋体" w:hAnsi="宋体" w:eastAsia="宋体" w:cs="宋体"/>
          <w:color w:val="auto"/>
          <w:sz w:val="24"/>
          <w:szCs w:val="24"/>
          <w:highlight w:val="none"/>
        </w:rPr>
        <w:t>供应商提供的货物、工程或者服务符合下列情形的，享受中小企业扶持政策：</w:t>
      </w:r>
    </w:p>
    <w:p w14:paraId="2B35FD84">
      <w:pPr>
        <w:keepNext w:val="0"/>
        <w:keepLines w:val="0"/>
        <w:pageBreakBefore w:val="0"/>
        <w:widowControl w:val="0"/>
        <w:tabs>
          <w:tab w:val="left" w:pos="1980"/>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24E2A383">
      <w:pPr>
        <w:keepNext w:val="0"/>
        <w:keepLines w:val="0"/>
        <w:pageBreakBefore w:val="0"/>
        <w:widowControl w:val="0"/>
        <w:tabs>
          <w:tab w:val="left" w:pos="1980"/>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6D89223E">
      <w:pPr>
        <w:keepNext w:val="0"/>
        <w:keepLines w:val="0"/>
        <w:pageBreakBefore w:val="0"/>
        <w:widowControl w:val="0"/>
        <w:tabs>
          <w:tab w:val="left" w:pos="1980"/>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74AA00B5">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4.1.1.3</w:t>
      </w: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162CF1D3">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4.1.1.4</w:t>
      </w: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6709ECAF">
      <w:pPr>
        <w:keepNext w:val="0"/>
        <w:keepLines w:val="0"/>
        <w:pageBreakBefore w:val="0"/>
        <w:widowControl w:val="0"/>
        <w:numPr>
          <w:ilvl w:val="0"/>
          <w:numId w:val="0"/>
        </w:num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4.1.1.5</w:t>
      </w:r>
      <w:r>
        <w:rPr>
          <w:rFonts w:hint="eastAsia" w:ascii="宋体" w:hAnsi="宋体" w:eastAsia="宋体" w:cs="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AE12EF">
      <w:pPr>
        <w:keepNext w:val="0"/>
        <w:keepLines w:val="0"/>
        <w:pageBreakBefore w:val="0"/>
        <w:widowControl w:val="0"/>
        <w:numPr>
          <w:ilvl w:val="0"/>
          <w:numId w:val="0"/>
        </w:num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4.1.1.6</w:t>
      </w:r>
      <w:r>
        <w:rPr>
          <w:rFonts w:hint="eastAsia" w:ascii="宋体" w:hAnsi="宋体" w:eastAsia="宋体" w:cs="宋体"/>
          <w:color w:val="auto"/>
          <w:sz w:val="24"/>
          <w:szCs w:val="24"/>
          <w:highlight w:val="none"/>
        </w:rPr>
        <w:t>残疾人福利单位定义：享受政府采购支持政策的残疾人福利性单位应当同时满足以下条件：</w:t>
      </w:r>
    </w:p>
    <w:p w14:paraId="0A04724C">
      <w:pPr>
        <w:pStyle w:val="307"/>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0DC15F67">
      <w:pPr>
        <w:pStyle w:val="307"/>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3DBEDE5D">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4.1.1.7</w:t>
      </w:r>
      <w:r>
        <w:rPr>
          <w:rFonts w:hint="eastAsia" w:ascii="宋体" w:hAnsi="宋体" w:eastAsia="宋体" w:cs="宋体"/>
          <w:color w:val="auto"/>
          <w:sz w:val="24"/>
          <w:szCs w:val="24"/>
          <w:highlight w:val="none"/>
        </w:rPr>
        <w:t>安置的残疾人占本单位在职职工人数的比例不低于25%（含25%），并且安置的残疾人人数不少于10 人（含10 人）；</w:t>
      </w:r>
    </w:p>
    <w:p w14:paraId="2DF6294F">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4.1.1.8</w:t>
      </w:r>
      <w:r>
        <w:rPr>
          <w:rFonts w:hint="eastAsia" w:ascii="宋体" w:hAnsi="宋体" w:eastAsia="宋体" w:cs="宋体"/>
          <w:color w:val="auto"/>
          <w:sz w:val="24"/>
          <w:szCs w:val="24"/>
          <w:highlight w:val="none"/>
        </w:rPr>
        <w:t>依法与安置的每位残疾人签订了一年以上（含一年）的劳动合同或服务协议；</w:t>
      </w:r>
    </w:p>
    <w:p w14:paraId="1DAA7DC9">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4.1.1.9</w:t>
      </w: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w:t>
      </w:r>
    </w:p>
    <w:p w14:paraId="1242424A">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4.1.1.10</w:t>
      </w:r>
      <w:r>
        <w:rPr>
          <w:rFonts w:hint="eastAsia" w:ascii="宋体" w:hAnsi="宋体" w:eastAsia="宋体" w:cs="宋体"/>
          <w:color w:val="auto"/>
          <w:sz w:val="24"/>
          <w:szCs w:val="24"/>
          <w:highlight w:val="none"/>
        </w:rPr>
        <w:t>通过银行等金融机构向安置的每位残疾人，按月支付了不低于单位所在区县适用的经省级人民政府批准的月最低工资标准的工资；</w:t>
      </w:r>
    </w:p>
    <w:p w14:paraId="70BDC1B6">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4.1.1.11</w:t>
      </w:r>
      <w:r>
        <w:rPr>
          <w:rFonts w:hint="eastAsia" w:ascii="宋体" w:hAnsi="宋体" w:eastAsia="宋体" w:cs="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0BB49902">
      <w:pPr>
        <w:keepNext w:val="0"/>
        <w:keepLines w:val="0"/>
        <w:pageBreakBefore w:val="0"/>
        <w:widowControl w:val="0"/>
        <w:numPr>
          <w:ilvl w:val="0"/>
          <w:numId w:val="0"/>
        </w:numPr>
        <w:tabs>
          <w:tab w:val="left" w:pos="1980"/>
          <w:tab w:val="left" w:pos="2035"/>
          <w:tab w:val="left" w:pos="2885"/>
          <w:tab w:val="left" w:pos="2977"/>
        </w:tabs>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4.1.1.12</w:t>
      </w: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D3CD20">
      <w:pPr>
        <w:keepNext w:val="0"/>
        <w:keepLines w:val="0"/>
        <w:pageBreakBefore w:val="0"/>
        <w:widowControl w:val="0"/>
        <w:numPr>
          <w:ilvl w:val="0"/>
          <w:numId w:val="0"/>
        </w:num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4.1.1.13</w:t>
      </w:r>
      <w:r>
        <w:rPr>
          <w:rFonts w:hint="eastAsia" w:ascii="宋体" w:hAnsi="宋体" w:eastAsia="宋体" w:cs="宋体"/>
          <w:color w:val="auto"/>
          <w:sz w:val="24"/>
          <w:szCs w:val="24"/>
          <w:highlight w:val="none"/>
        </w:rPr>
        <w:t>本项目是否专门面向中小企业预留采购份额见第一章《采购邀请》。</w:t>
      </w:r>
    </w:p>
    <w:p w14:paraId="77E4D85D">
      <w:pPr>
        <w:keepNext w:val="0"/>
        <w:keepLines w:val="0"/>
        <w:pageBreakBefore w:val="0"/>
        <w:widowControl w:val="0"/>
        <w:numPr>
          <w:ilvl w:val="0"/>
          <w:numId w:val="0"/>
        </w:num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4.1.1.14</w:t>
      </w:r>
      <w:r>
        <w:rPr>
          <w:rFonts w:hint="eastAsia" w:ascii="宋体" w:hAnsi="宋体" w:eastAsia="宋体" w:cs="宋体"/>
          <w:color w:val="auto"/>
          <w:sz w:val="24"/>
          <w:szCs w:val="24"/>
          <w:highlight w:val="none"/>
        </w:rPr>
        <w:t>采购标的对应的中小企业划分标准所属行业见《供应商须知资料表》。</w:t>
      </w:r>
    </w:p>
    <w:p w14:paraId="2DBE104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小微企业价格评审优惠的政策调整：见第三章《评审方法和评审标准》。</w:t>
      </w:r>
    </w:p>
    <w:p w14:paraId="0461E66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483A415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DF6091">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F0C77D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702EACDA">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非政府强制采购的节能产品或环境标志产品，依据品目清单和认证证书实施政府优先采购。优先采购的具体规定见第三章《评审方法和评审标准》。</w:t>
      </w:r>
    </w:p>
    <w:p w14:paraId="5F09548B">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依据《关于印发〈商品包装政府采购需求标准（试行）〉、〈快递包装政府采购需求标准（试行）〉的通知》（财办库〔2020〕123号）</w:t>
      </w:r>
      <w:r>
        <w:rPr>
          <w:rFonts w:hint="eastAsia" w:ascii="宋体" w:hAnsi="宋体" w:cs="宋体"/>
          <w:color w:val="auto"/>
          <w:sz w:val="24"/>
          <w:szCs w:val="24"/>
          <w:highlight w:val="none"/>
          <w:lang w:eastAsia="zh-CN"/>
        </w:rPr>
        <w:t>、财政部 生态环境部 工业和信息化部关于印发《绿色数据中心政府采购需求标准(试行)"的通知(财库{2023}7号)</w:t>
      </w:r>
      <w:r>
        <w:rPr>
          <w:rFonts w:hint="eastAsia" w:ascii="宋体" w:hAnsi="宋体" w:eastAsia="宋体" w:cs="宋体"/>
          <w:color w:val="auto"/>
          <w:sz w:val="24"/>
          <w:szCs w:val="24"/>
          <w:highlight w:val="none"/>
        </w:rPr>
        <w:t>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6F2BBEBA">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支持乡村产业振兴管理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5BCE7A05">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为落实《关于运用政府采购政策支持乡村产业振兴的通知》（财库〔2021〕19号）有关要求，做好支持脱贫攻坚工作，本项目采购活动中对于支持乡村振兴管理的相关要求见第四章《采购需求》。</w:t>
      </w:r>
    </w:p>
    <w:p w14:paraId="60F35260">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正版软件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38F6FA1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BED179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BF528F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政府采购创新产品政策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25E17E8B">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BE0878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绿色采购政策</w:t>
      </w:r>
    </w:p>
    <w:p w14:paraId="790AFF6B">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绿色数据中心政策 </w:t>
      </w:r>
    </w:p>
    <w:p w14:paraId="609986CE">
      <w:pPr>
        <w:keepNext w:val="0"/>
        <w:keepLines w:val="0"/>
        <w:pageBreakBefore w:val="0"/>
        <w:widowControl w:val="0"/>
        <w:numPr>
          <w:ilvl w:val="0"/>
          <w:numId w:val="0"/>
        </w:numPr>
        <w:tabs>
          <w:tab w:val="left" w:pos="1980"/>
          <w:tab w:val="left" w:pos="2520"/>
        </w:tabs>
        <w:spacing w:line="360" w:lineRule="auto"/>
        <w:ind w:left="144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268B6ED">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推广应用绿色建材</w:t>
      </w:r>
    </w:p>
    <w:p w14:paraId="6EB4B99F">
      <w:pPr>
        <w:keepNext w:val="0"/>
        <w:keepLines w:val="0"/>
        <w:pageBreakBefore w:val="0"/>
        <w:widowControl w:val="0"/>
        <w:numPr>
          <w:ilvl w:val="0"/>
          <w:numId w:val="0"/>
        </w:numPr>
        <w:tabs>
          <w:tab w:val="left" w:pos="1980"/>
          <w:tab w:val="left" w:pos="2520"/>
        </w:tabs>
        <w:spacing w:line="360" w:lineRule="auto"/>
        <w:ind w:left="144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2D7F6246">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优先使用低挥发性有机化合物产品</w:t>
      </w:r>
    </w:p>
    <w:p w14:paraId="1DA891F8">
      <w:pPr>
        <w:keepNext w:val="0"/>
        <w:keepLines w:val="0"/>
        <w:pageBreakBefore w:val="0"/>
        <w:widowControl w:val="0"/>
        <w:numPr>
          <w:ilvl w:val="0"/>
          <w:numId w:val="0"/>
        </w:numPr>
        <w:tabs>
          <w:tab w:val="left" w:pos="1980"/>
          <w:tab w:val="left" w:pos="2520"/>
        </w:tabs>
        <w:spacing w:line="360" w:lineRule="auto"/>
        <w:ind w:left="144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应当提供符合国家和江苏省相关VOCs 含量限制标准的产品；属于推荐性标准的，应当在采购文件中载明低VOCs的优惠幅度、评审标准等，以体现优先采购。</w:t>
      </w:r>
    </w:p>
    <w:p w14:paraId="0BC736F7">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响应费用</w:t>
      </w:r>
    </w:p>
    <w:p w14:paraId="00D16E1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供应商应自行承担所有与准备和参加磋商有关的费用，无论磋商的结果如何，采购人或采购代理机构在任何情况下均无承担这些费用的义务和责任。</w:t>
      </w:r>
    </w:p>
    <w:p w14:paraId="66F3DA28">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147" w:name="_1.8_计量单位"/>
      <w:bookmarkEnd w:id="147"/>
    </w:p>
    <w:p w14:paraId="05D09197">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二   竞争性磋商文件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7F02EF8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148" w:name="_Toc195842888"/>
      <w:bookmarkStart w:id="149" w:name="_Toc265228361"/>
      <w:bookmarkStart w:id="150" w:name="_Toc151193837"/>
      <w:bookmarkStart w:id="151" w:name="_Toc520356147"/>
      <w:bookmarkStart w:id="152" w:name="_Toc127151724"/>
      <w:bookmarkStart w:id="153" w:name="_Toc305158791"/>
      <w:bookmarkStart w:id="154" w:name="_Toc151190150"/>
      <w:bookmarkStart w:id="155" w:name="_Toc150480761"/>
      <w:bookmarkStart w:id="156" w:name="_Toc164229364"/>
      <w:bookmarkStart w:id="157" w:name="_Toc226309767"/>
      <w:bookmarkStart w:id="158" w:name="_Toc151193621"/>
      <w:bookmarkStart w:id="159" w:name="_Toc151193911"/>
      <w:bookmarkStart w:id="160" w:name="_Toc226965713"/>
      <w:bookmarkStart w:id="161" w:name="_Toc151193765"/>
      <w:bookmarkStart w:id="162" w:name="_Toc164351617"/>
      <w:bookmarkStart w:id="163" w:name="_Toc226965796"/>
      <w:bookmarkStart w:id="164" w:name="_Toc226337219"/>
      <w:bookmarkStart w:id="165" w:name="_Toc151193693"/>
      <w:bookmarkStart w:id="166" w:name="_Toc150774728"/>
      <w:bookmarkStart w:id="167" w:name="_Toc164608792"/>
      <w:bookmarkStart w:id="168" w:name="_Toc149720816"/>
      <w:bookmarkStart w:id="169" w:name="_Toc127151523"/>
      <w:bookmarkStart w:id="170" w:name="_Toc164608637"/>
      <w:bookmarkStart w:id="171" w:name="_Toc150774623"/>
      <w:bookmarkStart w:id="172" w:name="_Toc127161437"/>
      <w:bookmarkStart w:id="173" w:name="_Toc142311025"/>
      <w:bookmarkStart w:id="174" w:name="_Toc264969213"/>
      <w:bookmarkStart w:id="175" w:name="_Toc164229218"/>
      <w:bookmarkStart w:id="176" w:name="_Toc150509274"/>
      <w:bookmarkStart w:id="177" w:name="_Toc305158865"/>
      <w:r>
        <w:rPr>
          <w:rFonts w:hint="eastAsia" w:ascii="宋体" w:hAnsi="宋体" w:eastAsia="宋体" w:cs="宋体"/>
          <w:color w:val="auto"/>
          <w:sz w:val="24"/>
          <w:szCs w:val="24"/>
          <w:highlight w:val="none"/>
        </w:rPr>
        <w:t>竞争性磋商文件构</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hint="eastAsia" w:ascii="宋体" w:hAnsi="宋体" w:eastAsia="宋体" w:cs="宋体"/>
          <w:color w:val="auto"/>
          <w:sz w:val="24"/>
          <w:szCs w:val="24"/>
          <w:highlight w:val="none"/>
        </w:rPr>
        <w:t>成</w:t>
      </w:r>
    </w:p>
    <w:p w14:paraId="480EECE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竞争性磋商文件包括以下部分：</w:t>
      </w:r>
    </w:p>
    <w:p w14:paraId="3F030BBB">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采购邀请</w:t>
      </w:r>
    </w:p>
    <w:p w14:paraId="48C65B01">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w:t>
      </w:r>
    </w:p>
    <w:p w14:paraId="20C54AC1">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评审程序、评审方法和评审标准</w:t>
      </w:r>
    </w:p>
    <w:p w14:paraId="52131649">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155A8370">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合同草案条款</w:t>
      </w:r>
    </w:p>
    <w:p w14:paraId="4C722BEC">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p w14:paraId="7A3F707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2DCA9380">
      <w:pPr>
        <w:keepNext w:val="0"/>
        <w:keepLines w:val="0"/>
        <w:pageBreakBefore w:val="0"/>
        <w:widowControl w:val="0"/>
        <w:numPr>
          <w:ilvl w:val="0"/>
          <w:numId w:val="8"/>
        </w:numPr>
        <w:tabs>
          <w:tab w:val="left" w:pos="1080"/>
          <w:tab w:val="left" w:pos="2014"/>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对竞争性磋商文件的澄清或修改</w:t>
      </w:r>
    </w:p>
    <w:p w14:paraId="61F2A3A1">
      <w:pPr>
        <w:keepNext w:val="0"/>
        <w:keepLines w:val="0"/>
        <w:pageBreakBefore w:val="0"/>
        <w:widowControl w:val="0"/>
        <w:numPr>
          <w:ilvl w:val="1"/>
          <w:numId w:val="8"/>
        </w:numPr>
        <w:tabs>
          <w:tab w:val="left" w:pos="1080"/>
          <w:tab w:val="left" w:pos="1561"/>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采购人或采购代理机构对已发出的竞争性磋商文件进行必要澄清或者修改的，将在原公告发布媒体上以发布更正公告的形式通知所有获取磋商文件的供应商。</w:t>
      </w:r>
    </w:p>
    <w:p w14:paraId="5DE3D522">
      <w:pPr>
        <w:keepNext w:val="0"/>
        <w:keepLines w:val="0"/>
        <w:pageBreakBefore w:val="0"/>
        <w:widowControl w:val="0"/>
        <w:numPr>
          <w:ilvl w:val="1"/>
          <w:numId w:val="8"/>
        </w:numPr>
        <w:tabs>
          <w:tab w:val="left" w:pos="1080"/>
          <w:tab w:val="left" w:pos="1561"/>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E7EEBB0">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178" w:name="_Toc516367020"/>
      <w:bookmarkStart w:id="179" w:name="_Toc150774626"/>
      <w:bookmarkStart w:id="180" w:name="_Toc150480764"/>
      <w:bookmarkStart w:id="181" w:name="_Toc151193624"/>
      <w:bookmarkStart w:id="182" w:name="_Toc195842891"/>
      <w:bookmarkStart w:id="183" w:name="_Toc142311028"/>
      <w:bookmarkStart w:id="184" w:name="_Toc226309770"/>
      <w:bookmarkStart w:id="185" w:name="_Toc265228364"/>
      <w:bookmarkStart w:id="186" w:name="_Toc150509277"/>
      <w:bookmarkStart w:id="187" w:name="_Toc151193768"/>
      <w:bookmarkStart w:id="188" w:name="_Toc305158868"/>
      <w:bookmarkStart w:id="189" w:name="_Toc226965716"/>
      <w:bookmarkStart w:id="190" w:name="_Toc150774731"/>
      <w:bookmarkStart w:id="191" w:name="_Toc305158794"/>
      <w:bookmarkStart w:id="192" w:name="_Toc151193914"/>
      <w:bookmarkStart w:id="193" w:name="_Toc226337222"/>
      <w:bookmarkStart w:id="194" w:name="_Toc520356150"/>
      <w:bookmarkStart w:id="195" w:name="_Toc151193696"/>
      <w:bookmarkStart w:id="196" w:name="_Toc264969216"/>
      <w:bookmarkStart w:id="197" w:name="_Toc151190153"/>
      <w:bookmarkStart w:id="198" w:name="_Toc151193840"/>
      <w:bookmarkStart w:id="199" w:name="_Toc127151526"/>
      <w:bookmarkStart w:id="200" w:name="_Toc226965799"/>
    </w:p>
    <w:p w14:paraId="132C554F">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三   响应文件</w:t>
      </w:r>
      <w:bookmarkEnd w:id="178"/>
      <w:r>
        <w:rPr>
          <w:rFonts w:hint="eastAsia" w:ascii="宋体" w:hAnsi="宋体" w:eastAsia="宋体" w:cs="Times New Roman"/>
          <w:b/>
          <w:bCs/>
          <w:color w:val="auto"/>
          <w:sz w:val="28"/>
          <w:szCs w:val="28"/>
          <w:highlight w:val="none"/>
          <w:lang w:val="en-US" w:eastAsia="zh-CN"/>
        </w:rPr>
        <w:t>的编制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6DD9F48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01" w:name="_Toc164351621"/>
      <w:bookmarkStart w:id="202" w:name="_Toc265228365"/>
      <w:bookmarkStart w:id="203" w:name="_Toc151193841"/>
      <w:bookmarkStart w:id="204" w:name="_Toc151193769"/>
      <w:bookmarkStart w:id="205" w:name="_Toc226309771"/>
      <w:bookmarkStart w:id="206" w:name="_Toc226337223"/>
      <w:bookmarkStart w:id="207" w:name="_Toc150774627"/>
      <w:bookmarkStart w:id="208" w:name="_Toc305158795"/>
      <w:bookmarkStart w:id="209" w:name="_Toc127161441"/>
      <w:bookmarkStart w:id="210" w:name="_Toc264969217"/>
      <w:bookmarkStart w:id="211" w:name="_Toc150480765"/>
      <w:bookmarkStart w:id="212" w:name="_Toc149720820"/>
      <w:bookmarkStart w:id="213" w:name="_Toc520356151"/>
      <w:bookmarkStart w:id="214" w:name="_Toc164229222"/>
      <w:bookmarkStart w:id="215" w:name="_Toc164229368"/>
      <w:bookmarkStart w:id="216" w:name="_Toc151193915"/>
      <w:bookmarkStart w:id="217" w:name="_Toc127151527"/>
      <w:bookmarkStart w:id="218" w:name="_Toc142311029"/>
      <w:bookmarkStart w:id="219" w:name="_Toc164608796"/>
      <w:bookmarkStart w:id="220" w:name="_Toc305158869"/>
      <w:bookmarkStart w:id="221" w:name="_Toc150509278"/>
      <w:bookmarkStart w:id="222" w:name="_Toc164608641"/>
      <w:bookmarkStart w:id="223" w:name="_Toc151193625"/>
      <w:bookmarkStart w:id="224" w:name="_Toc226965717"/>
      <w:bookmarkStart w:id="225" w:name="_Toc127151728"/>
      <w:bookmarkStart w:id="226" w:name="_Toc151193697"/>
      <w:bookmarkStart w:id="227" w:name="_Toc195842892"/>
      <w:bookmarkStart w:id="228" w:name="_Toc151190154"/>
      <w:bookmarkStart w:id="229" w:name="_Toc516367021"/>
      <w:bookmarkStart w:id="230" w:name="_Toc226965800"/>
      <w:bookmarkStart w:id="231" w:name="_Toc150774732"/>
      <w:r>
        <w:rPr>
          <w:rFonts w:hint="eastAsia" w:ascii="宋体" w:hAnsi="宋体" w:eastAsia="宋体" w:cs="宋体"/>
          <w:color w:val="auto"/>
          <w:sz w:val="24"/>
          <w:highlight w:val="none"/>
        </w:rPr>
        <w:t>响应范围、竞争性磋商文件中计量单位的使用</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hint="eastAsia" w:ascii="宋体" w:hAnsi="宋体" w:eastAsia="宋体" w:cs="宋体"/>
          <w:color w:val="auto"/>
          <w:sz w:val="24"/>
          <w:highlight w:val="none"/>
        </w:rPr>
        <w:t>及磋商语言</w:t>
      </w:r>
    </w:p>
    <w:p w14:paraId="4D0E504F">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2D5404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除竞争性磋商文件有特殊要求外，本项目磋商所使用的计量单位，应采用中华人民共和国法定计量单位。</w:t>
      </w:r>
    </w:p>
    <w:p w14:paraId="719F66FC">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67503EB">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32" w:name="_Ref467306195"/>
      <w:bookmarkStart w:id="233" w:name="_Toc516367022"/>
      <w:bookmarkStart w:id="234" w:name="_Ref467306676"/>
      <w:bookmarkStart w:id="235" w:name="_Toc127151528"/>
      <w:bookmarkStart w:id="236" w:name="_Toc151193626"/>
      <w:bookmarkStart w:id="237" w:name="_Toc151193916"/>
      <w:bookmarkStart w:id="238" w:name="_Toc164608642"/>
      <w:bookmarkStart w:id="239" w:name="_Toc305158870"/>
      <w:bookmarkStart w:id="240" w:name="_Toc127151729"/>
      <w:bookmarkStart w:id="241" w:name="_Toc164351622"/>
      <w:bookmarkStart w:id="242" w:name="_Toc151190155"/>
      <w:bookmarkStart w:id="243" w:name="_Toc226337224"/>
      <w:bookmarkStart w:id="244" w:name="_Toc164229223"/>
      <w:bookmarkStart w:id="245" w:name="_Toc226965718"/>
      <w:bookmarkStart w:id="246" w:name="_Toc150480766"/>
      <w:bookmarkStart w:id="247" w:name="_Toc264969218"/>
      <w:bookmarkStart w:id="248" w:name="_Toc142311030"/>
      <w:bookmarkStart w:id="249" w:name="_Toc305158796"/>
      <w:bookmarkStart w:id="250" w:name="_Toc226309772"/>
      <w:bookmarkStart w:id="251" w:name="_Toc195842893"/>
      <w:bookmarkStart w:id="252" w:name="_Toc520356152"/>
      <w:bookmarkStart w:id="253" w:name="_Toc149720821"/>
      <w:bookmarkStart w:id="254" w:name="_Toc164608797"/>
      <w:bookmarkStart w:id="255" w:name="_Toc164229369"/>
      <w:bookmarkStart w:id="256" w:name="_Toc150509279"/>
      <w:bookmarkStart w:id="257" w:name="_Toc226965801"/>
      <w:bookmarkStart w:id="258" w:name="_Toc151193698"/>
      <w:bookmarkStart w:id="259" w:name="_Toc127161442"/>
      <w:bookmarkStart w:id="260" w:name="_Toc150774733"/>
      <w:bookmarkStart w:id="261" w:name="_Toc265228366"/>
      <w:bookmarkStart w:id="262" w:name="_Toc150774628"/>
      <w:bookmarkStart w:id="263" w:name="_Toc151193770"/>
      <w:bookmarkStart w:id="264" w:name="_Toc151193842"/>
      <w:r>
        <w:rPr>
          <w:rFonts w:hint="eastAsia" w:ascii="宋体" w:hAnsi="宋体" w:eastAsia="宋体" w:cs="宋体"/>
          <w:color w:val="auto"/>
          <w:sz w:val="24"/>
          <w:highlight w:val="none"/>
        </w:rPr>
        <w:t>响应文件</w:t>
      </w:r>
      <w:bookmarkEnd w:id="232"/>
      <w:bookmarkEnd w:id="233"/>
      <w:bookmarkEnd w:id="234"/>
      <w:r>
        <w:rPr>
          <w:rFonts w:hint="eastAsia" w:ascii="宋体" w:hAnsi="宋体" w:eastAsia="宋体" w:cs="宋体"/>
          <w:color w:val="auto"/>
          <w:sz w:val="24"/>
          <w:highlight w:val="none"/>
        </w:rPr>
        <w:t>构成</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01F8679C">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bookmarkStart w:id="265" w:name="_Ref467052588"/>
      <w:r>
        <w:rPr>
          <w:rFonts w:hint="eastAsia" w:ascii="宋体" w:hAnsi="宋体" w:eastAsia="宋体" w:cs="宋体"/>
          <w:color w:val="auto"/>
          <w:sz w:val="24"/>
          <w:highlight w:val="none"/>
        </w:rPr>
        <w:t>供应商应当按照竞争性磋商文件的要求编制响应文件，并对其提交的响应文件的真实性、合法性承担法律责任。响应文件的部分格式要求，见第六章《响应文件格式》。</w:t>
      </w:r>
    </w:p>
    <w:p w14:paraId="67C6EEB9">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否则响应无效</w:t>
      </w:r>
      <w:r>
        <w:rPr>
          <w:rFonts w:hint="eastAsia" w:ascii="宋体" w:hAnsi="宋体" w:eastAsia="宋体" w:cs="宋体"/>
          <w:color w:val="auto"/>
          <w:sz w:val="24"/>
          <w:highlight w:val="none"/>
        </w:rPr>
        <w:t>。未标记“实质性格式”的文件和竞争性磋商文件未提供格式的内容，可由供应商自行编写。</w:t>
      </w:r>
    </w:p>
    <w:p w14:paraId="62A3BE0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第三章《评审方法和评审标准》中涉及的证明文件。</w:t>
      </w:r>
    </w:p>
    <w:p w14:paraId="77322829">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7A7D1EE">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供应商认为应附的其他材料。</w:t>
      </w:r>
      <w:bookmarkEnd w:id="265"/>
    </w:p>
    <w:p w14:paraId="580BADD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66" w:name="_Toc151190157"/>
      <w:bookmarkStart w:id="267" w:name="_Toc164229225"/>
      <w:bookmarkStart w:id="268" w:name="_Toc149720823"/>
      <w:bookmarkStart w:id="269" w:name="_Toc151193700"/>
      <w:bookmarkStart w:id="270" w:name="_Toc151193628"/>
      <w:bookmarkStart w:id="271" w:name="_Toc151193772"/>
      <w:bookmarkStart w:id="272" w:name="_Toc164608799"/>
      <w:bookmarkStart w:id="273" w:name="_Toc195842895"/>
      <w:bookmarkStart w:id="274" w:name="_Toc150774630"/>
      <w:bookmarkStart w:id="275" w:name="_Toc150480768"/>
      <w:bookmarkStart w:id="276" w:name="_Toc164608644"/>
      <w:bookmarkStart w:id="277" w:name="_Toc151193844"/>
      <w:bookmarkStart w:id="278" w:name="_Toc127151731"/>
      <w:bookmarkStart w:id="279" w:name="_Toc164351624"/>
      <w:bookmarkStart w:id="280" w:name="_Toc142311032"/>
      <w:bookmarkStart w:id="281" w:name="_Toc151193918"/>
      <w:bookmarkStart w:id="282" w:name="_Toc164229371"/>
      <w:bookmarkStart w:id="283" w:name="_Toc127151530"/>
      <w:bookmarkStart w:id="284" w:name="_Toc150774735"/>
      <w:bookmarkStart w:id="285" w:name="_Toc520356155"/>
      <w:bookmarkStart w:id="286" w:name="_Toc150509281"/>
      <w:bookmarkStart w:id="287" w:name="_Toc127161444"/>
      <w:r>
        <w:rPr>
          <w:rFonts w:hint="eastAsia" w:ascii="宋体" w:hAnsi="宋体" w:eastAsia="宋体" w:cs="宋体"/>
          <w:color w:val="auto"/>
          <w:sz w:val="24"/>
          <w:highlight w:val="none"/>
        </w:rPr>
        <w:t>报价</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81E2218">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所有响应均以人民币报价。</w:t>
      </w:r>
    </w:p>
    <w:p w14:paraId="0435A22C">
      <w:pPr>
        <w:keepNext w:val="0"/>
        <w:keepLines w:val="0"/>
        <w:pageBreakBefore w:val="0"/>
        <w:widowControl w:val="0"/>
        <w:numPr>
          <w:ilvl w:val="1"/>
          <w:numId w:val="8"/>
        </w:numPr>
        <w:tabs>
          <w:tab w:val="left" w:pos="108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72F3C73">
      <w:pPr>
        <w:keepNext w:val="0"/>
        <w:keepLines w:val="0"/>
        <w:pageBreakBefore w:val="0"/>
        <w:widowControl w:val="0"/>
        <w:numPr>
          <w:ilvl w:val="2"/>
          <w:numId w:val="8"/>
        </w:num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3E64C187">
      <w:pPr>
        <w:keepNext w:val="0"/>
        <w:keepLines w:val="0"/>
        <w:pageBreakBefore w:val="0"/>
        <w:widowControl w:val="0"/>
        <w:numPr>
          <w:ilvl w:val="2"/>
          <w:numId w:val="8"/>
        </w:num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按照竞争性磋商文件要求完成本项目的全部相关服务费用。</w:t>
      </w:r>
    </w:p>
    <w:p w14:paraId="16036EDF">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采购人不得向供应商索要或者接受其给予的赠品、回扣或者与采购无关的其他商品、服务。</w:t>
      </w:r>
    </w:p>
    <w:p w14:paraId="2CCC8243">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供应商不能提供任何有选择性或可调整的最终报价（竞争性磋商文件另有规定的除外），否则其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26F7067C">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p w14:paraId="2509E694">
      <w:pPr>
        <w:keepNext w:val="0"/>
        <w:keepLines w:val="0"/>
        <w:pageBreakBefore w:val="0"/>
        <w:widowControl w:val="0"/>
        <w:tabs>
          <w:tab w:val="left" w:pos="360"/>
        </w:tabs>
        <w:spacing w:line="360" w:lineRule="auto"/>
        <w:ind w:firstLine="36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根据江苏省和常州市的相关文件规定，免收保证金。</w:t>
      </w:r>
    </w:p>
    <w:p w14:paraId="7BC894B2">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p w14:paraId="778AA98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C01479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88" w:name="_Toc195842898"/>
      <w:bookmarkStart w:id="289" w:name="_Toc164608802"/>
      <w:bookmarkStart w:id="290" w:name="_Toc164229228"/>
      <w:bookmarkStart w:id="291" w:name="_Toc150480771"/>
      <w:bookmarkStart w:id="292" w:name="_Toc520356158"/>
      <w:bookmarkStart w:id="293" w:name="_Toc305158875"/>
      <w:bookmarkStart w:id="294" w:name="_Toc226965806"/>
      <w:bookmarkStart w:id="295" w:name="_Toc265228371"/>
      <w:bookmarkStart w:id="296" w:name="_Toc127161447"/>
      <w:bookmarkStart w:id="297" w:name="_Toc226309777"/>
      <w:bookmarkStart w:id="298" w:name="_Toc151193921"/>
      <w:bookmarkStart w:id="299" w:name="_Toc127151533"/>
      <w:bookmarkStart w:id="300" w:name="_Toc151193703"/>
      <w:bookmarkStart w:id="301" w:name="_Toc164608647"/>
      <w:bookmarkStart w:id="302" w:name="_Toc150774633"/>
      <w:bookmarkStart w:id="303" w:name="_Toc151193775"/>
      <w:bookmarkStart w:id="304" w:name="_Toc264969223"/>
      <w:bookmarkStart w:id="305" w:name="_Toc127151734"/>
      <w:bookmarkStart w:id="306" w:name="_Toc151193631"/>
      <w:bookmarkStart w:id="307" w:name="_Toc226337229"/>
      <w:bookmarkStart w:id="308" w:name="_Toc150509284"/>
      <w:bookmarkStart w:id="309" w:name="_Toc226965723"/>
      <w:bookmarkStart w:id="310" w:name="_Toc149720826"/>
      <w:bookmarkStart w:id="311" w:name="_Toc164351627"/>
      <w:bookmarkStart w:id="312" w:name="_Toc151190160"/>
      <w:bookmarkStart w:id="313" w:name="_Toc305158801"/>
      <w:bookmarkStart w:id="314" w:name="_Toc142311035"/>
      <w:bookmarkStart w:id="315" w:name="_Toc164229374"/>
      <w:bookmarkStart w:id="316" w:name="_Toc151193847"/>
      <w:bookmarkStart w:id="317" w:name="_Toc150774738"/>
      <w:r>
        <w:rPr>
          <w:rFonts w:hint="eastAsia" w:ascii="宋体" w:hAnsi="宋体" w:eastAsia="宋体" w:cs="宋体"/>
          <w:color w:val="auto"/>
          <w:sz w:val="24"/>
          <w:highlight w:val="none"/>
        </w:rPr>
        <w:t>响应文件的签署</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Pr>
          <w:rFonts w:hint="eastAsia" w:ascii="宋体" w:hAnsi="宋体" w:eastAsia="宋体" w:cs="宋体"/>
          <w:color w:val="auto"/>
          <w:sz w:val="24"/>
          <w:highlight w:val="none"/>
        </w:rPr>
        <w:t>、盖章</w:t>
      </w:r>
    </w:p>
    <w:p w14:paraId="108A4833">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E5873A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竞争性磋商文件要求盖章的内容，一般通过</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编制工具加盖电子签章。</w:t>
      </w:r>
    </w:p>
    <w:p w14:paraId="2FEB38D4">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318" w:name="_Toc151193632"/>
      <w:bookmarkStart w:id="319" w:name="_Toc265228372"/>
      <w:bookmarkStart w:id="320" w:name="_Toc151193922"/>
      <w:bookmarkStart w:id="321" w:name="_Toc520356159"/>
      <w:bookmarkStart w:id="322" w:name="_Toc226965807"/>
      <w:bookmarkStart w:id="323" w:name="_Toc142311036"/>
      <w:bookmarkStart w:id="324" w:name="_Toc151193776"/>
      <w:bookmarkStart w:id="325" w:name="_Toc150774634"/>
      <w:bookmarkStart w:id="326" w:name="_Toc264969224"/>
      <w:bookmarkStart w:id="327" w:name="_Toc226965724"/>
      <w:bookmarkStart w:id="328" w:name="_Toc151190161"/>
      <w:bookmarkStart w:id="329" w:name="_Toc150480772"/>
      <w:bookmarkStart w:id="330" w:name="_Toc305158876"/>
      <w:bookmarkStart w:id="331" w:name="_Toc150774739"/>
      <w:bookmarkStart w:id="332" w:name="_Toc151193848"/>
      <w:bookmarkStart w:id="333" w:name="_Toc226309778"/>
      <w:bookmarkStart w:id="334" w:name="_Toc305158802"/>
      <w:bookmarkStart w:id="335" w:name="_Toc226337230"/>
      <w:bookmarkStart w:id="336" w:name="_Toc150509285"/>
      <w:bookmarkStart w:id="337" w:name="_Toc151193704"/>
      <w:bookmarkStart w:id="338" w:name="_Toc195842899"/>
      <w:bookmarkStart w:id="339" w:name="_Toc127151534"/>
    </w:p>
    <w:p w14:paraId="0DEF19F3">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四   响应文件的提交</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AC0104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340" w:name="_Toc127151535"/>
      <w:bookmarkStart w:id="341" w:name="_Toc127151736"/>
      <w:bookmarkStart w:id="342" w:name="_Toc151190162"/>
      <w:bookmarkStart w:id="343" w:name="_Toc195842900"/>
      <w:bookmarkStart w:id="344" w:name="_Toc226965725"/>
      <w:bookmarkStart w:id="345" w:name="_Toc520356160"/>
      <w:bookmarkStart w:id="346" w:name="_Toc142311037"/>
      <w:bookmarkStart w:id="347" w:name="_Toc150774635"/>
      <w:bookmarkStart w:id="348" w:name="_Toc226965808"/>
      <w:bookmarkStart w:id="349" w:name="_Toc305158877"/>
      <w:bookmarkStart w:id="350" w:name="_Toc151193923"/>
      <w:bookmarkStart w:id="351" w:name="_Toc264969225"/>
      <w:bookmarkStart w:id="352" w:name="_Toc151193633"/>
      <w:bookmarkStart w:id="353" w:name="_Toc226309779"/>
      <w:bookmarkStart w:id="354" w:name="_Toc150509286"/>
      <w:bookmarkStart w:id="355" w:name="_Toc164608649"/>
      <w:bookmarkStart w:id="356" w:name="_Toc150774740"/>
      <w:bookmarkStart w:id="357" w:name="_Toc164351629"/>
      <w:bookmarkStart w:id="358" w:name="_Toc149720828"/>
      <w:bookmarkStart w:id="359" w:name="_Toc150480773"/>
      <w:bookmarkStart w:id="360" w:name="_Toc226337231"/>
      <w:bookmarkStart w:id="361" w:name="_Toc151193849"/>
      <w:bookmarkStart w:id="362" w:name="_Toc164608804"/>
      <w:bookmarkStart w:id="363" w:name="_Toc164229230"/>
      <w:bookmarkStart w:id="364" w:name="_Toc164229376"/>
      <w:bookmarkStart w:id="365" w:name="_Toc151193777"/>
      <w:bookmarkStart w:id="366" w:name="_Toc151193705"/>
      <w:bookmarkStart w:id="367" w:name="_Toc305158803"/>
      <w:bookmarkStart w:id="368" w:name="_Toc265228373"/>
      <w:bookmarkStart w:id="369" w:name="_Toc127161449"/>
      <w:r>
        <w:rPr>
          <w:rFonts w:hint="eastAsia" w:ascii="宋体" w:hAnsi="宋体" w:eastAsia="宋体" w:cs="宋体"/>
          <w:color w:val="auto"/>
          <w:sz w:val="24"/>
          <w:highlight w:val="none"/>
        </w:rPr>
        <w:t>响应文件的提交</w:t>
      </w:r>
    </w:p>
    <w:p w14:paraId="077C78D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供应商操作手册要求编制、生成并提交电子响应文件。</w:t>
      </w:r>
    </w:p>
    <w:p w14:paraId="1BA4A78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采购人及采购代理机构拒绝接受通过电子交易平台以外任何形式提交的响应文件。</w:t>
      </w:r>
    </w:p>
    <w:p w14:paraId="00D3193F">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响应文件截止时间</w:t>
      </w:r>
    </w:p>
    <w:p w14:paraId="133E3C8C">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供应商应在竞争性磋商文件要求提交响应文件截止时间前，将电子响应文件提交至</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w:t>
      </w:r>
    </w:p>
    <w:p w14:paraId="6D54A505">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响应文件的修改与撤回</w:t>
      </w:r>
    </w:p>
    <w:p w14:paraId="7C88CB40">
      <w:pPr>
        <w:keepNext w:val="0"/>
        <w:keepLines w:val="0"/>
        <w:pageBreakBefore w:val="0"/>
        <w:widowControl w:val="0"/>
        <w:numPr>
          <w:ilvl w:val="1"/>
          <w:numId w:val="8"/>
        </w:numPr>
        <w:tabs>
          <w:tab w:val="left" w:pos="1080"/>
          <w:tab w:val="left" w:pos="2014"/>
        </w:tabs>
        <w:spacing w:line="360" w:lineRule="auto"/>
        <w:ind w:left="1077" w:hanging="720"/>
        <w:outlineLvl w:val="9"/>
        <w:rPr>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w:t>
      </w:r>
    </w:p>
    <w:p w14:paraId="7CC763EB">
      <w:pPr>
        <w:keepNext w:val="0"/>
        <w:keepLines w:val="0"/>
        <w:pageBreakBefore w:val="0"/>
        <w:widowControl w:val="0"/>
        <w:numPr>
          <w:ilvl w:val="1"/>
          <w:numId w:val="8"/>
        </w:numPr>
        <w:tabs>
          <w:tab w:val="left" w:pos="1080"/>
          <w:tab w:val="left" w:pos="2014"/>
        </w:tabs>
        <w:spacing w:line="360" w:lineRule="auto"/>
        <w:ind w:left="1077" w:hanging="720"/>
        <w:outlineLvl w:val="9"/>
        <w:rPr>
          <w:color w:val="auto"/>
          <w:sz w:val="24"/>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sz w:val="24"/>
          <w:highlight w:val="none"/>
        </w:rPr>
        <w:t>充、修改的内容为准。</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14:paraId="23CABCDF">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p>
    <w:p w14:paraId="06856630">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370" w:name="_Toc127151538"/>
      <w:bookmarkStart w:id="371" w:name="_Toc151193636"/>
      <w:bookmarkStart w:id="372" w:name="_Toc305158806"/>
      <w:bookmarkStart w:id="373" w:name="_Toc195842903"/>
      <w:bookmarkStart w:id="374" w:name="_Toc226337234"/>
      <w:bookmarkStart w:id="375" w:name="_Toc264969228"/>
      <w:bookmarkStart w:id="376" w:name="_Toc226965811"/>
      <w:bookmarkStart w:id="377" w:name="_Toc142311040"/>
      <w:bookmarkStart w:id="378" w:name="_Toc226309782"/>
      <w:bookmarkStart w:id="379" w:name="_Toc305158880"/>
      <w:bookmarkStart w:id="380" w:name="_Toc150480776"/>
      <w:bookmarkStart w:id="381" w:name="_Toc151193852"/>
      <w:bookmarkStart w:id="382" w:name="_Toc226965728"/>
      <w:bookmarkStart w:id="383" w:name="_Toc151190165"/>
      <w:bookmarkStart w:id="384" w:name="_Toc150774743"/>
      <w:bookmarkStart w:id="385" w:name="_Toc151193708"/>
      <w:bookmarkStart w:id="386" w:name="_Toc150509289"/>
      <w:bookmarkStart w:id="387" w:name="_Toc150774638"/>
      <w:bookmarkStart w:id="388" w:name="_Toc265228376"/>
      <w:bookmarkStart w:id="389" w:name="_Toc151193926"/>
      <w:bookmarkStart w:id="390" w:name="_Toc151193780"/>
      <w:bookmarkStart w:id="391" w:name="_Toc520356163"/>
      <w:r>
        <w:rPr>
          <w:rFonts w:hint="eastAsia" w:ascii="宋体" w:hAnsi="宋体" w:eastAsia="宋体" w:cs="Times New Roman"/>
          <w:b/>
          <w:bCs/>
          <w:color w:val="auto"/>
          <w:sz w:val="28"/>
          <w:szCs w:val="28"/>
          <w:highlight w:val="none"/>
          <w:lang w:val="en-US" w:eastAsia="zh-CN"/>
        </w:rPr>
        <w:t xml:space="preserve">五   </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rFonts w:hint="eastAsia" w:ascii="宋体" w:hAnsi="宋体" w:eastAsia="宋体" w:cs="Times New Roman"/>
          <w:b/>
          <w:bCs/>
          <w:color w:val="auto"/>
          <w:sz w:val="28"/>
          <w:szCs w:val="28"/>
          <w:highlight w:val="none"/>
          <w:lang w:val="en-US" w:eastAsia="zh-CN"/>
        </w:rPr>
        <w:t>评审</w:t>
      </w:r>
    </w:p>
    <w:p w14:paraId="104889F3">
      <w:pPr>
        <w:numPr>
          <w:ilvl w:val="0"/>
          <w:numId w:val="8"/>
        </w:numPr>
        <w:tabs>
          <w:tab w:val="left" w:pos="360"/>
        </w:tabs>
        <w:spacing w:line="360" w:lineRule="auto"/>
        <w:ind w:left="357" w:hanging="357"/>
        <w:outlineLvl w:val="1"/>
        <w:rPr>
          <w:color w:val="auto"/>
          <w:sz w:val="24"/>
          <w:highlight w:val="none"/>
        </w:rPr>
      </w:pPr>
      <w:bookmarkStart w:id="392" w:name="_Toc520356169"/>
      <w:r>
        <w:rPr>
          <w:color w:val="auto"/>
          <w:sz w:val="24"/>
          <w:highlight w:val="none"/>
        </w:rPr>
        <w:t>响应文件的</w:t>
      </w:r>
      <w:r>
        <w:rPr>
          <w:rFonts w:hint="eastAsia"/>
          <w:color w:val="auto"/>
          <w:sz w:val="24"/>
          <w:highlight w:val="none"/>
        </w:rPr>
        <w:t>解密与</w:t>
      </w:r>
      <w:r>
        <w:rPr>
          <w:color w:val="auto"/>
          <w:sz w:val="24"/>
          <w:highlight w:val="none"/>
        </w:rPr>
        <w:t>开启</w:t>
      </w:r>
    </w:p>
    <w:p w14:paraId="020769D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077E9B2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w:t>
      </w:r>
      <w:r>
        <w:rPr>
          <w:rFonts w:ascii="宋体" w:hAnsi="宋体"/>
          <w:color w:val="auto"/>
          <w:sz w:val="24"/>
          <w:highlight w:val="none"/>
        </w:rPr>
        <w:t>采用不见面招</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“苏采云”政府采购一体化平台</w:t>
      </w:r>
      <w:r>
        <w:rPr>
          <w:rFonts w:hint="eastAsia"/>
          <w:color w:val="auto"/>
          <w:sz w:val="24"/>
          <w:highlight w:val="none"/>
        </w:rPr>
        <w:t>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6A848DF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供应商不足3家的，不予解密。</w:t>
      </w:r>
    </w:p>
    <w:p w14:paraId="5E28CDCC">
      <w:pPr>
        <w:numPr>
          <w:ilvl w:val="1"/>
          <w:numId w:val="8"/>
        </w:numPr>
        <w:tabs>
          <w:tab w:val="left" w:pos="1080"/>
          <w:tab w:val="left" w:pos="2014"/>
        </w:tabs>
        <w:spacing w:line="360" w:lineRule="auto"/>
        <w:ind w:left="1077" w:hanging="720"/>
        <w:rPr>
          <w:rFonts w:hint="eastAsia"/>
          <w:color w:val="auto"/>
          <w:sz w:val="24"/>
          <w:highlight w:val="none"/>
        </w:rPr>
      </w:pPr>
      <w:bookmarkStart w:id="393" w:name="_Toc520356165"/>
      <w:r>
        <w:rPr>
          <w:color w:val="auto"/>
          <w:sz w:val="24"/>
          <w:highlight w:val="none"/>
        </w:rPr>
        <w:t>本项目不公开报价。</w:t>
      </w:r>
    </w:p>
    <w:p w14:paraId="43BFBC7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05A4D26F">
      <w:pPr>
        <w:numPr>
          <w:ilvl w:val="1"/>
          <w:numId w:val="8"/>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57E12F9F">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eastAsia="zh-CN"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p>
    <w:p w14:paraId="52093C79">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31D515D0">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4A1A565B">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9DC037D">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0A7727F3">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7BDC16BC">
      <w:pPr>
        <w:tabs>
          <w:tab w:val="left" w:pos="993"/>
          <w:tab w:val="left" w:pos="1589"/>
          <w:tab w:val="left" w:pos="2014"/>
        </w:tabs>
        <w:spacing w:line="360" w:lineRule="auto"/>
        <w:ind w:firstLine="48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bookmarkEnd w:id="393"/>
    <w:p w14:paraId="6287B72E">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磋商小组</w:t>
      </w:r>
    </w:p>
    <w:p w14:paraId="0604269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磋商小组根据政府采购有关规定和本次采购项目的特点进行组建，并负责具体评审事务，独立履行职责。</w:t>
      </w:r>
      <w:bookmarkStart w:id="394" w:name="_Toc520356166"/>
    </w:p>
    <w:p w14:paraId="22AFE07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394"/>
    </w:p>
    <w:p w14:paraId="154B50FB">
      <w:pPr>
        <w:numPr>
          <w:ilvl w:val="0"/>
          <w:numId w:val="8"/>
        </w:numPr>
        <w:tabs>
          <w:tab w:val="left" w:pos="360"/>
        </w:tabs>
        <w:spacing w:line="360" w:lineRule="auto"/>
        <w:outlineLvl w:val="1"/>
        <w:rPr>
          <w:color w:val="auto"/>
          <w:sz w:val="24"/>
          <w:highlight w:val="none"/>
        </w:rPr>
      </w:pPr>
      <w:r>
        <w:rPr>
          <w:color w:val="auto"/>
          <w:sz w:val="24"/>
          <w:highlight w:val="none"/>
        </w:rPr>
        <w:t>评审方法和评审标准</w:t>
      </w:r>
    </w:p>
    <w:p w14:paraId="1AB89B4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见第三章《评审方法和评审标准》。</w:t>
      </w:r>
    </w:p>
    <w:p w14:paraId="63CB6B68">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p>
    <w:p w14:paraId="44FAC21D">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395" w:name="_Toc226965735"/>
      <w:bookmarkStart w:id="396" w:name="_Toc305158887"/>
      <w:bookmarkStart w:id="397" w:name="_Toc150509296"/>
      <w:bookmarkStart w:id="398" w:name="_Toc265228383"/>
      <w:bookmarkStart w:id="399" w:name="_Toc226309789"/>
      <w:bookmarkStart w:id="400" w:name="_Toc142311047"/>
      <w:bookmarkStart w:id="401" w:name="_Toc195842910"/>
      <w:bookmarkStart w:id="402" w:name="_Toc150774645"/>
      <w:bookmarkStart w:id="403" w:name="_Toc150774750"/>
      <w:bookmarkStart w:id="404" w:name="_Toc226337241"/>
      <w:bookmarkStart w:id="405" w:name="_Toc151193859"/>
      <w:bookmarkStart w:id="406" w:name="_Toc151193715"/>
      <w:bookmarkStart w:id="407" w:name="_Toc151190172"/>
      <w:bookmarkStart w:id="408" w:name="_Toc150480783"/>
      <w:bookmarkStart w:id="409" w:name="_Toc305158813"/>
      <w:bookmarkStart w:id="410" w:name="_Toc151193933"/>
      <w:bookmarkStart w:id="411" w:name="_Toc151193643"/>
      <w:bookmarkStart w:id="412" w:name="_Toc226965818"/>
      <w:bookmarkStart w:id="413" w:name="_Toc127151545"/>
      <w:bookmarkStart w:id="414" w:name="_Toc151193787"/>
      <w:bookmarkStart w:id="415" w:name="_Toc264969235"/>
      <w:r>
        <w:rPr>
          <w:rFonts w:hint="eastAsia" w:ascii="宋体" w:hAnsi="宋体" w:eastAsia="宋体" w:cs="Times New Roman"/>
          <w:b/>
          <w:bCs/>
          <w:color w:val="auto"/>
          <w:sz w:val="28"/>
          <w:szCs w:val="28"/>
          <w:highlight w:val="none"/>
          <w:lang w:val="en-US" w:eastAsia="zh-CN"/>
        </w:rPr>
        <w:t xml:space="preserve">六   </w:t>
      </w:r>
      <w:bookmarkEnd w:id="392"/>
      <w:r>
        <w:rPr>
          <w:rFonts w:hint="eastAsia" w:ascii="宋体" w:hAnsi="宋体" w:eastAsia="宋体" w:cs="Times New Roman"/>
          <w:b/>
          <w:bCs/>
          <w:color w:val="auto"/>
          <w:sz w:val="28"/>
          <w:szCs w:val="28"/>
          <w:highlight w:val="none"/>
          <w:lang w:val="en-US" w:eastAsia="zh-CN"/>
        </w:rPr>
        <w:t>确定</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eastAsia" w:ascii="宋体" w:hAnsi="宋体" w:eastAsia="宋体" w:cs="Times New Roman"/>
          <w:b/>
          <w:bCs/>
          <w:color w:val="auto"/>
          <w:sz w:val="28"/>
          <w:szCs w:val="28"/>
          <w:highlight w:val="none"/>
          <w:lang w:val="en-US" w:eastAsia="zh-CN"/>
        </w:rPr>
        <w:t>成交</w:t>
      </w:r>
    </w:p>
    <w:p w14:paraId="315574D4">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416" w:name="_Toc151190174"/>
      <w:bookmarkStart w:id="417" w:name="_Toc226337243"/>
      <w:bookmarkStart w:id="418" w:name="_Toc226965737"/>
      <w:bookmarkStart w:id="419" w:name="_Toc151193935"/>
      <w:bookmarkStart w:id="420" w:name="_Toc151193861"/>
      <w:bookmarkStart w:id="421" w:name="_Toc142311049"/>
      <w:bookmarkStart w:id="422" w:name="_Toc127151547"/>
      <w:bookmarkStart w:id="423" w:name="_Toc164608661"/>
      <w:bookmarkStart w:id="424" w:name="_Toc164229242"/>
      <w:bookmarkStart w:id="425" w:name="_Toc164608816"/>
      <w:bookmarkStart w:id="426" w:name="_Toc305158815"/>
      <w:bookmarkStart w:id="427" w:name="_Toc150774647"/>
      <w:bookmarkStart w:id="428" w:name="_Toc226309791"/>
      <w:bookmarkStart w:id="429" w:name="_Toc164229388"/>
      <w:bookmarkStart w:id="430" w:name="_Toc150480785"/>
      <w:bookmarkStart w:id="431" w:name="_Toc151193717"/>
      <w:bookmarkStart w:id="432" w:name="_Toc151193789"/>
      <w:bookmarkStart w:id="433" w:name="_Toc151193645"/>
      <w:bookmarkStart w:id="434" w:name="_Toc164351641"/>
      <w:bookmarkStart w:id="435" w:name="_Toc150509298"/>
      <w:bookmarkStart w:id="436" w:name="_Toc305158889"/>
      <w:bookmarkStart w:id="437" w:name="_Toc226965820"/>
      <w:bookmarkStart w:id="438" w:name="_Toc195842912"/>
      <w:bookmarkStart w:id="439" w:name="_Toc265228385"/>
      <w:bookmarkStart w:id="440" w:name="_Toc150774752"/>
      <w:bookmarkStart w:id="441" w:name="_Toc264969237"/>
      <w:bookmarkStart w:id="442" w:name="_Toc149720840"/>
      <w:bookmarkStart w:id="443" w:name="_Toc127161461"/>
      <w:bookmarkStart w:id="444" w:name="_Toc127151748"/>
      <w:r>
        <w:rPr>
          <w:rFonts w:hint="eastAsia" w:ascii="宋体" w:hAnsi="宋体" w:eastAsia="宋体" w:cs="宋体"/>
          <w:color w:val="auto"/>
          <w:sz w:val="24"/>
          <w:szCs w:val="24"/>
          <w:highlight w:val="none"/>
        </w:rPr>
        <w:t>确定成交供应商</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28687A2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采购人将在收到评审报告后，从评审报告提出的成交候选供应商中，按照排序由高到低的原则确定成交供应商。成交候选人并列的，由采购人依法确定。</w:t>
      </w:r>
    </w:p>
    <w:p w14:paraId="12CD66D1">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445" w:name="_Toc305158891"/>
      <w:bookmarkStart w:id="446" w:name="_Toc305158817"/>
      <w:bookmarkStart w:id="447" w:name="_Toc151193647"/>
      <w:bookmarkStart w:id="448" w:name="_Toc164229390"/>
      <w:bookmarkStart w:id="449" w:name="_Toc151193863"/>
      <w:bookmarkStart w:id="450" w:name="_Toc151190176"/>
      <w:bookmarkStart w:id="451" w:name="_Toc264969239"/>
      <w:bookmarkStart w:id="452" w:name="_Toc164608663"/>
      <w:bookmarkStart w:id="453" w:name="_Toc150774754"/>
      <w:bookmarkStart w:id="454" w:name="_Toc164229244"/>
      <w:bookmarkStart w:id="455" w:name="_Toc226965822"/>
      <w:bookmarkStart w:id="456" w:name="_Toc195842914"/>
      <w:bookmarkStart w:id="457" w:name="_Toc265228387"/>
      <w:bookmarkStart w:id="458" w:name="_Toc151193719"/>
      <w:bookmarkStart w:id="459" w:name="_Toc127161463"/>
      <w:bookmarkStart w:id="460" w:name="_Toc127151549"/>
      <w:bookmarkStart w:id="461" w:name="_Toc150509300"/>
      <w:bookmarkStart w:id="462" w:name="_Toc226337245"/>
      <w:bookmarkStart w:id="463" w:name="_Toc151193791"/>
      <w:bookmarkStart w:id="464" w:name="_Toc150774649"/>
      <w:bookmarkStart w:id="465" w:name="_Toc142311051"/>
      <w:bookmarkStart w:id="466" w:name="_Toc164608818"/>
      <w:bookmarkStart w:id="467" w:name="_Toc164351643"/>
      <w:bookmarkStart w:id="468" w:name="_Toc226309793"/>
      <w:bookmarkStart w:id="469" w:name="_Toc149720842"/>
      <w:bookmarkStart w:id="470" w:name="_Toc127151750"/>
      <w:bookmarkStart w:id="471" w:name="_Toc151193937"/>
      <w:bookmarkStart w:id="472" w:name="_Toc226965739"/>
      <w:bookmarkStart w:id="473" w:name="_Toc150480787"/>
      <w:bookmarkStart w:id="474" w:name="_Ref467307090"/>
      <w:bookmarkStart w:id="475" w:name="_Toc520356176"/>
      <w:bookmarkStart w:id="476" w:name="_Ref467306425"/>
      <w:r>
        <w:rPr>
          <w:rFonts w:hint="eastAsia" w:ascii="宋体" w:hAnsi="宋体" w:eastAsia="宋体" w:cs="宋体"/>
          <w:color w:val="auto"/>
          <w:sz w:val="24"/>
          <w:szCs w:val="24"/>
          <w:highlight w:val="none"/>
        </w:rPr>
        <w:t>成交公告与成交通知书</w:t>
      </w:r>
      <w:bookmarkEnd w:id="445"/>
      <w:bookmarkEnd w:id="446"/>
    </w:p>
    <w:p w14:paraId="4B178484">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采购人或采购代理机构将在成交供应商确定后2个工作日内，在</w:t>
      </w:r>
      <w:r>
        <w:rPr>
          <w:rFonts w:hint="eastAsia" w:ascii="宋体" w:hAnsi="宋体" w:eastAsia="宋体" w:cs="宋体"/>
          <w:color w:val="auto"/>
          <w:sz w:val="24"/>
          <w:szCs w:val="24"/>
          <w:highlight w:val="none"/>
          <w:lang w:val="en-US" w:eastAsia="zh-CN"/>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常州市政府采购网和江苏尚阳工程管理有限公司网公告成交结果，同时向成交供应商发出成交通知书，成交公告期限为1个工作日。</w:t>
      </w:r>
    </w:p>
    <w:p w14:paraId="15DD2E9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成交通知书是合同的组成部分，对采购人和成交供应商具有同等法律效力。成交通知书发出后，采购人改变成交结果的，或者成交供应商放弃成交项目的，将依法承担法律责任。</w:t>
      </w:r>
    </w:p>
    <w:p w14:paraId="3D0B0EA3">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终止</w:t>
      </w:r>
    </w:p>
    <w:p w14:paraId="156E5148">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在采购中，出现下列情形之一的，采购人或采购代理机构将终止竞争性磋商采购活动，发布项目终止公告并说明原因，重新开展采购活动：</w:t>
      </w:r>
    </w:p>
    <w:p w14:paraId="56F81672">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因情况变化，不再符合规定的竞争性磋商采购方式适用情形的；</w:t>
      </w:r>
    </w:p>
    <w:p w14:paraId="46D60871">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出现影响采购公正的违法、违规行为的；</w:t>
      </w:r>
    </w:p>
    <w:p w14:paraId="63FB8DEE">
      <w:pPr>
        <w:numPr>
          <w:ilvl w:val="2"/>
          <w:numId w:val="8"/>
        </w:numPr>
        <w:spacing w:line="360" w:lineRule="auto"/>
        <w:rPr>
          <w:color w:val="auto"/>
          <w:sz w:val="24"/>
          <w:highlight w:val="none"/>
        </w:rPr>
      </w:pPr>
      <w:r>
        <w:rPr>
          <w:rFonts w:hint="eastAsia" w:ascii="宋体" w:hAnsi="宋体" w:eastAsia="宋体" w:cs="宋体"/>
          <w:color w:val="auto"/>
          <w:sz w:val="24"/>
          <w:szCs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106928D">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14:paraId="51773BB3">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477" w:name="_Toc150509301"/>
      <w:bookmarkStart w:id="478" w:name="_Toc164608664"/>
      <w:bookmarkStart w:id="479" w:name="_Toc151190177"/>
      <w:bookmarkStart w:id="480" w:name="_Toc127161464"/>
      <w:bookmarkStart w:id="481" w:name="_Toc264969240"/>
      <w:bookmarkStart w:id="482" w:name="_Toc226965740"/>
      <w:bookmarkStart w:id="483" w:name="_Toc226309794"/>
      <w:bookmarkStart w:id="484" w:name="_Toc150774755"/>
      <w:bookmarkStart w:id="485" w:name="_Toc195842915"/>
      <w:bookmarkStart w:id="486" w:name="_Toc127151751"/>
      <w:bookmarkStart w:id="487" w:name="_Toc151193792"/>
      <w:bookmarkStart w:id="488" w:name="_Toc151193938"/>
      <w:bookmarkStart w:id="489" w:name="_Ref467307062"/>
      <w:bookmarkStart w:id="490" w:name="_Toc305158892"/>
      <w:bookmarkStart w:id="491" w:name="_Ref467306978"/>
      <w:bookmarkStart w:id="492" w:name="_Toc164229245"/>
      <w:bookmarkStart w:id="493" w:name="_Toc151193720"/>
      <w:bookmarkStart w:id="494" w:name="_Toc164351644"/>
      <w:bookmarkStart w:id="495" w:name="_Ref467307204"/>
      <w:bookmarkStart w:id="496" w:name="_Toc151193864"/>
      <w:bookmarkStart w:id="497" w:name="_Toc265228388"/>
      <w:bookmarkStart w:id="498" w:name="_Toc226337246"/>
      <w:bookmarkStart w:id="499" w:name="_Toc151193648"/>
      <w:bookmarkStart w:id="500" w:name="_Toc127151550"/>
      <w:bookmarkStart w:id="501" w:name="_Toc305158818"/>
      <w:bookmarkStart w:id="502" w:name="_Toc149720843"/>
      <w:bookmarkStart w:id="503" w:name="_Toc150774650"/>
      <w:bookmarkStart w:id="504" w:name="_Toc142311052"/>
      <w:bookmarkStart w:id="505" w:name="_Toc164229391"/>
      <w:bookmarkStart w:id="506" w:name="_Toc164608819"/>
      <w:bookmarkStart w:id="507" w:name="_Toc150480788"/>
      <w:bookmarkStart w:id="508" w:name="_Ref467306377"/>
      <w:bookmarkStart w:id="509" w:name="_Toc226965823"/>
      <w:bookmarkStart w:id="510" w:name="_Toc520356175"/>
      <w:r>
        <w:rPr>
          <w:rFonts w:hint="eastAsia" w:ascii="宋体" w:hAnsi="宋体" w:eastAsia="宋体" w:cs="宋体"/>
          <w:color w:val="auto"/>
          <w:sz w:val="24"/>
          <w:szCs w:val="24"/>
          <w:highlight w:val="none"/>
        </w:rPr>
        <w:t>签订合同</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48FC810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采购人与成交供应商将在成交通知书发出之日起30日内，按照磋商文件确定的合同文本以及采购标的、采购金额、采购数量、技术和服务要求等事项签订政府采购合同。</w:t>
      </w:r>
    </w:p>
    <w:p w14:paraId="5035878A">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D5A3DF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联合体获得成交资格的，联合体各方应当共同与采购人签订合同，就成交项目向采购人承担连带责任。</w:t>
      </w:r>
    </w:p>
    <w:p w14:paraId="2E0F609A">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政府采购合同不能转包。</w:t>
      </w:r>
    </w:p>
    <w:p w14:paraId="4F194210">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本项目是否允许分包，见《供应商须知资料表》。</w:t>
      </w:r>
    </w:p>
    <w:bookmarkEnd w:id="474"/>
    <w:bookmarkEnd w:id="475"/>
    <w:bookmarkEnd w:id="476"/>
    <w:p w14:paraId="27A0D985">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询问与质疑</w:t>
      </w:r>
    </w:p>
    <w:p w14:paraId="7ECEE3E7">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p w14:paraId="64FAFBC2">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供应商对政府采购活动事项有疑问的，可依法提出询问，并按《供应商须知资料表》载明的形式送达采购人或采购代理机构。</w:t>
      </w:r>
    </w:p>
    <w:p w14:paraId="1BA156C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采购人或采购代理机构对供应商依法提出的询问，在3个工作日内作出答复，但答复的内容不得涉及商业秘密。</w:t>
      </w:r>
    </w:p>
    <w:p w14:paraId="60245E84">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p w14:paraId="144F91A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E478F9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13BE1433">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268"/>
          <w:rFonts w:hint="eastAsia" w:ascii="宋体" w:hAnsi="宋体" w:eastAsia="宋体" w:cs="宋体"/>
          <w:color w:val="auto"/>
          <w:sz w:val="24"/>
          <w:szCs w:val="24"/>
          <w:highlight w:val="none"/>
        </w:rPr>
        <w:t>http://gk</w:t>
      </w:r>
      <w:bookmarkStart w:id="511" w:name="_Hlt100654014"/>
      <w:r>
        <w:rPr>
          <w:rStyle w:val="268"/>
          <w:rFonts w:hint="eastAsia" w:ascii="宋体" w:hAnsi="宋体" w:eastAsia="宋体" w:cs="宋体"/>
          <w:color w:val="auto"/>
          <w:sz w:val="24"/>
          <w:szCs w:val="24"/>
          <w:highlight w:val="none"/>
        </w:rPr>
        <w:t>s</w:t>
      </w:r>
      <w:bookmarkEnd w:id="511"/>
      <w:r>
        <w:rPr>
          <w:rStyle w:val="268"/>
          <w:rFonts w:hint="eastAsia" w:ascii="宋体" w:hAnsi="宋体" w:eastAsia="宋体" w:cs="宋体"/>
          <w:color w:val="auto"/>
          <w:sz w:val="24"/>
          <w:szCs w:val="24"/>
          <w:highlight w:val="none"/>
        </w:rPr>
        <w:t>.m</w:t>
      </w:r>
      <w:bookmarkStart w:id="512" w:name="_Hlt100653993"/>
      <w:bookmarkStart w:id="513" w:name="_Hlt100653994"/>
      <w:r>
        <w:rPr>
          <w:rStyle w:val="268"/>
          <w:rFonts w:hint="eastAsia" w:ascii="宋体" w:hAnsi="宋体" w:eastAsia="宋体" w:cs="宋体"/>
          <w:color w:val="auto"/>
          <w:sz w:val="24"/>
          <w:szCs w:val="24"/>
          <w:highlight w:val="none"/>
        </w:rPr>
        <w:t>o</w:t>
      </w:r>
      <w:bookmarkEnd w:id="512"/>
      <w:bookmarkEnd w:id="513"/>
      <w:bookmarkStart w:id="514" w:name="_Hlt101169156"/>
      <w:r>
        <w:rPr>
          <w:rStyle w:val="268"/>
          <w:rFonts w:hint="eastAsia" w:ascii="宋体" w:hAnsi="宋体" w:eastAsia="宋体" w:cs="宋体"/>
          <w:color w:val="auto"/>
          <w:sz w:val="24"/>
          <w:szCs w:val="24"/>
          <w:highlight w:val="none"/>
        </w:rPr>
        <w:t>f</w:t>
      </w:r>
      <w:bookmarkEnd w:id="514"/>
      <w:r>
        <w:rPr>
          <w:rStyle w:val="268"/>
          <w:rFonts w:hint="eastAsia" w:ascii="宋体" w:hAnsi="宋体" w:eastAsia="宋体" w:cs="宋体"/>
          <w:color w:val="auto"/>
          <w:sz w:val="24"/>
          <w:szCs w:val="24"/>
          <w:highlight w:val="none"/>
        </w:rPr>
        <w:t>.gov.cn/ztztz/zhengfucaigouguanli/201802/t20180201_2804589.htm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11E3669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000E8A5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供应商应在法定质疑期内一次性提出针对同一采购程序环节的质疑，法定质疑期内针对同一采购程序环节再次提出的质疑，采购人、采购代理机构有权不予答复。</w:t>
      </w:r>
    </w:p>
    <w:p w14:paraId="675561B7">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接收询问和质疑的联系部门、联系电话和通讯地址见《供应商须知资料表》。</w:t>
      </w:r>
    </w:p>
    <w:p w14:paraId="108D96C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p w14:paraId="599476A8">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收费对象、收费标准及缴纳时间见《供应商须知资料表》。由成交供应商支付的，成交供应商须一次性向采购代理机构缴纳代理费，报价应包含代理费用。</w:t>
      </w:r>
    </w:p>
    <w:p w14:paraId="63D9E011">
      <w:pPr>
        <w:keepNext w:val="0"/>
        <w:keepLines w:val="0"/>
        <w:pageBreakBefore w:val="0"/>
        <w:widowControl w:val="0"/>
        <w:numPr>
          <w:ilvl w:val="0"/>
          <w:numId w:val="0"/>
        </w:numPr>
        <w:tabs>
          <w:tab w:val="left" w:pos="1080"/>
          <w:tab w:val="left" w:pos="1589"/>
          <w:tab w:val="left" w:pos="2014"/>
        </w:tabs>
        <w:spacing w:line="360" w:lineRule="auto"/>
        <w:jc w:val="both"/>
        <w:outlineLvl w:val="9"/>
        <w:rPr>
          <w:rFonts w:hint="eastAsia" w:ascii="宋体" w:hAnsi="宋体" w:eastAsia="宋体" w:cs="宋体"/>
          <w:color w:val="auto"/>
          <w:sz w:val="24"/>
          <w:szCs w:val="24"/>
          <w:highlight w:val="none"/>
        </w:rPr>
      </w:pPr>
      <w:bookmarkStart w:id="515" w:name="_Toc264969244"/>
      <w:bookmarkStart w:id="516" w:name="_Toc127151554"/>
      <w:bookmarkStart w:id="517" w:name="_Toc305158822"/>
      <w:bookmarkStart w:id="518" w:name="_Toc150774759"/>
      <w:bookmarkStart w:id="519" w:name="_Toc150480792"/>
      <w:bookmarkStart w:id="520" w:name="_Toc353825544"/>
      <w:bookmarkStart w:id="521" w:name="_Toc142311056"/>
      <w:bookmarkStart w:id="522" w:name="_Toc353873934"/>
      <w:bookmarkStart w:id="523" w:name="_Toc226965827"/>
      <w:bookmarkStart w:id="524" w:name="_Toc226337250"/>
      <w:bookmarkStart w:id="525" w:name="_Toc353873664"/>
      <w:bookmarkStart w:id="526" w:name="_Toc265228392"/>
      <w:bookmarkStart w:id="527" w:name="_Toc305158896"/>
    </w:p>
    <w:p w14:paraId="49F5FC2C">
      <w:pPr>
        <w:keepNext w:val="0"/>
        <w:keepLines w:val="0"/>
        <w:pageBreakBefore w:val="0"/>
        <w:widowControl w:val="0"/>
        <w:spacing w:line="360" w:lineRule="auto"/>
        <w:jc w:val="center"/>
        <w:outlineLvl w:val="0"/>
        <w:rPr>
          <w:b/>
          <w:color w:val="auto"/>
          <w:sz w:val="36"/>
          <w:szCs w:val="36"/>
          <w:highlight w:val="none"/>
        </w:rPr>
        <w:sectPr>
          <w:pgSz w:w="11906" w:h="16838"/>
          <w:pgMar w:top="1440" w:right="1800" w:bottom="1440" w:left="1800" w:header="851" w:footer="992" w:gutter="0"/>
          <w:pgNumType w:fmt="decimal"/>
          <w:cols w:space="1701" w:num="1"/>
          <w:docGrid w:linePitch="360" w:charSpace="0"/>
        </w:sectPr>
      </w:pPr>
      <w:bookmarkStart w:id="528" w:name="_Toc17685"/>
      <w:bookmarkStart w:id="529" w:name="_Toc104818927"/>
    </w:p>
    <w:p w14:paraId="60A11FD6">
      <w:pPr>
        <w:keepNext w:val="0"/>
        <w:keepLines w:val="0"/>
        <w:pageBreakBefore w:val="0"/>
        <w:widowControl w:val="0"/>
        <w:spacing w:line="360" w:lineRule="auto"/>
        <w:jc w:val="center"/>
        <w:outlineLvl w:val="0"/>
        <w:rPr>
          <w:b/>
          <w:color w:val="auto"/>
          <w:sz w:val="36"/>
          <w:szCs w:val="36"/>
          <w:highlight w:val="none"/>
        </w:rPr>
      </w:pPr>
      <w:r>
        <w:rPr>
          <w:b/>
          <w:color w:val="auto"/>
          <w:sz w:val="36"/>
          <w:szCs w:val="36"/>
          <w:highlight w:val="none"/>
        </w:rPr>
        <w:t xml:space="preserve">第三章   </w:t>
      </w:r>
      <w:bookmarkEnd w:id="515"/>
      <w:bookmarkEnd w:id="516"/>
      <w:bookmarkEnd w:id="517"/>
      <w:bookmarkEnd w:id="518"/>
      <w:bookmarkEnd w:id="519"/>
      <w:bookmarkEnd w:id="520"/>
      <w:bookmarkEnd w:id="521"/>
      <w:bookmarkEnd w:id="522"/>
      <w:bookmarkEnd w:id="523"/>
      <w:bookmarkEnd w:id="524"/>
      <w:bookmarkEnd w:id="525"/>
      <w:bookmarkEnd w:id="526"/>
      <w:bookmarkEnd w:id="527"/>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528"/>
      <w:bookmarkEnd w:id="529"/>
      <w:bookmarkStart w:id="530" w:name="_Toc487900382"/>
    </w:p>
    <w:p w14:paraId="7A89BCC7">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一、评审程序</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p w14:paraId="261D3C6E">
      <w:pPr>
        <w:keepNext w:val="0"/>
        <w:keepLines w:val="0"/>
        <w:pageBreakBefore w:val="0"/>
        <w:widowControl w:val="0"/>
        <w:numPr>
          <w:ilvl w:val="0"/>
          <w:numId w:val="11"/>
        </w:numPr>
        <w:tabs>
          <w:tab w:val="left" w:pos="360"/>
        </w:tabs>
        <w:spacing w:line="360" w:lineRule="auto"/>
        <w:outlineLvl w:val="9"/>
        <w:rPr>
          <w:rFonts w:hint="eastAsia" w:ascii="宋体" w:hAnsi="宋体" w:eastAsia="宋体" w:cs="宋体"/>
          <w:color w:val="auto"/>
          <w:sz w:val="24"/>
          <w:highlight w:val="none"/>
        </w:rPr>
      </w:pPr>
      <w:bookmarkStart w:id="531" w:name="_Toc305158809"/>
      <w:bookmarkStart w:id="532" w:name="_Toc150774746"/>
      <w:bookmarkStart w:id="533" w:name="_Toc265228379"/>
      <w:bookmarkStart w:id="534" w:name="_Toc226337237"/>
      <w:bookmarkStart w:id="535" w:name="_Toc164608810"/>
      <w:bookmarkStart w:id="536" w:name="_Toc226965814"/>
      <w:bookmarkStart w:id="537" w:name="_Toc150774641"/>
      <w:bookmarkStart w:id="538" w:name="_Toc127151742"/>
      <w:bookmarkStart w:id="539" w:name="_Toc226309785"/>
      <w:bookmarkStart w:id="540" w:name="_Toc164229236"/>
      <w:bookmarkStart w:id="541" w:name="_Toc150480779"/>
      <w:bookmarkStart w:id="542" w:name="_Toc195842906"/>
      <w:bookmarkStart w:id="543" w:name="_Toc127151541"/>
      <w:bookmarkStart w:id="544" w:name="_Toc305158883"/>
      <w:bookmarkStart w:id="545" w:name="_Toc151193783"/>
      <w:bookmarkStart w:id="546" w:name="_Toc151193639"/>
      <w:bookmarkStart w:id="547" w:name="_Toc149720834"/>
      <w:bookmarkStart w:id="548" w:name="_Toc151193711"/>
      <w:bookmarkStart w:id="549" w:name="_Toc142311043"/>
      <w:bookmarkStart w:id="550" w:name="_Toc150509292"/>
      <w:bookmarkStart w:id="551" w:name="_Toc127161455"/>
      <w:bookmarkStart w:id="552" w:name="_Toc226965731"/>
      <w:bookmarkStart w:id="553" w:name="_Toc164229382"/>
      <w:bookmarkStart w:id="554" w:name="_Toc164608655"/>
      <w:bookmarkStart w:id="555" w:name="_Toc264969231"/>
      <w:bookmarkStart w:id="556" w:name="_Toc164351635"/>
      <w:bookmarkStart w:id="557" w:name="_Toc151190168"/>
      <w:bookmarkStart w:id="558" w:name="_Toc151193855"/>
      <w:bookmarkStart w:id="559" w:name="_Toc151193929"/>
      <w:bookmarkStart w:id="560" w:name="_Toc353825551"/>
      <w:bookmarkStart w:id="561" w:name="_Toc353873941"/>
      <w:bookmarkStart w:id="562" w:name="_Toc142311057"/>
      <w:bookmarkStart w:id="563" w:name="_Toc150480793"/>
      <w:bookmarkStart w:id="564" w:name="_Toc353873935"/>
      <w:bookmarkStart w:id="565" w:name="_Toc265228393"/>
      <w:bookmarkStart w:id="566" w:name="_Toc226965828"/>
      <w:bookmarkStart w:id="567" w:name="_Toc305158897"/>
      <w:bookmarkStart w:id="568" w:name="_Toc264969245"/>
      <w:bookmarkStart w:id="569" w:name="_Toc150774760"/>
      <w:bookmarkStart w:id="570" w:name="_Toc353873665"/>
      <w:bookmarkStart w:id="571" w:name="_Toc305158823"/>
      <w:bookmarkStart w:id="572" w:name="_Toc127151555"/>
      <w:bookmarkStart w:id="573" w:name="_Toc195842920"/>
      <w:bookmarkStart w:id="574" w:name="_Toc353825545"/>
      <w:bookmarkStart w:id="575" w:name="_Toc226337251"/>
      <w:r>
        <w:rPr>
          <w:rFonts w:hint="eastAsia" w:ascii="宋体" w:hAnsi="宋体" w:eastAsia="宋体" w:cs="宋体"/>
          <w:color w:val="auto"/>
          <w:sz w:val="24"/>
          <w:highlight w:val="none"/>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ascii="宋体" w:hAnsi="宋体" w:eastAsia="宋体" w:cs="宋体"/>
          <w:color w:val="auto"/>
          <w:sz w:val="24"/>
          <w:highlight w:val="none"/>
        </w:rPr>
        <w:t>资格性检查和符合性审查</w:t>
      </w:r>
    </w:p>
    <w:p w14:paraId="178A9877">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14:paraId="57835155">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《资格性检查要求》中对格式有要求的，除竞争性磋商文件另有规定外，均为“实质性格式”文件。</w:t>
      </w:r>
    </w:p>
    <w:p w14:paraId="21717FBE">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《资格性检查要求》见下表：</w:t>
      </w:r>
    </w:p>
    <w:p w14:paraId="790CF99B">
      <w:pPr>
        <w:tabs>
          <w:tab w:val="left" w:pos="900"/>
          <w:tab w:val="left" w:pos="1080"/>
          <w:tab w:val="left" w:pos="1447"/>
        </w:tabs>
        <w:spacing w:line="360" w:lineRule="auto"/>
        <w:jc w:val="center"/>
        <w:outlineLvl w:val="9"/>
        <w:rPr>
          <w:b/>
          <w:color w:val="auto"/>
          <w:sz w:val="24"/>
          <w:highlight w:val="none"/>
        </w:rPr>
      </w:pPr>
      <w:r>
        <w:rPr>
          <w:b/>
          <w:color w:val="auto"/>
          <w:sz w:val="24"/>
          <w:highlight w:val="none"/>
        </w:rPr>
        <w:t>资格性检查要求</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7DA44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0" w:type="dxa"/>
            <w:noWrap w:val="0"/>
            <w:vAlign w:val="center"/>
          </w:tcPr>
          <w:p w14:paraId="7B1D20B5">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bookmarkStart w:id="576" w:name="_Hlt487972895"/>
            <w:bookmarkEnd w:id="576"/>
            <w:r>
              <w:rPr>
                <w:rFonts w:hint="eastAsia" w:ascii="宋体" w:hAnsi="宋体" w:eastAsia="宋体" w:cs="宋体"/>
                <w:b/>
                <w:color w:val="auto"/>
                <w:sz w:val="24"/>
                <w:highlight w:val="none"/>
              </w:rPr>
              <w:t>序号</w:t>
            </w:r>
          </w:p>
        </w:tc>
        <w:tc>
          <w:tcPr>
            <w:tcW w:w="1728" w:type="dxa"/>
            <w:noWrap w:val="0"/>
            <w:vAlign w:val="center"/>
          </w:tcPr>
          <w:p w14:paraId="06BC8994">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4494" w:type="dxa"/>
            <w:noWrap w:val="0"/>
            <w:vAlign w:val="center"/>
          </w:tcPr>
          <w:p w14:paraId="5FF84DBA">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c>
          <w:tcPr>
            <w:tcW w:w="1660" w:type="dxa"/>
            <w:noWrap w:val="0"/>
            <w:vAlign w:val="center"/>
          </w:tcPr>
          <w:p w14:paraId="28616733">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6069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B0A0486">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728" w:type="dxa"/>
            <w:noWrap w:val="0"/>
            <w:vAlign w:val="center"/>
          </w:tcPr>
          <w:p w14:paraId="5CEF967F">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4494" w:type="dxa"/>
            <w:noWrap w:val="0"/>
            <w:vAlign w:val="center"/>
          </w:tcPr>
          <w:p w14:paraId="4083BA07">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1660" w:type="dxa"/>
            <w:noWrap w:val="0"/>
            <w:vAlign w:val="center"/>
          </w:tcPr>
          <w:p w14:paraId="2AF2C44D">
            <w:pPr>
              <w:keepNext w:val="0"/>
              <w:keepLines w:val="0"/>
              <w:pageBreakBefore w:val="0"/>
              <w:widowControl w:val="0"/>
              <w:tabs>
                <w:tab w:val="left" w:pos="1080"/>
              </w:tabs>
              <w:outlineLvl w:val="9"/>
              <w:rPr>
                <w:rFonts w:hint="eastAsia" w:ascii="宋体" w:hAnsi="宋体" w:eastAsia="宋体" w:cs="宋体"/>
                <w:color w:val="auto"/>
                <w:sz w:val="24"/>
                <w:highlight w:val="none"/>
              </w:rPr>
            </w:pPr>
          </w:p>
        </w:tc>
      </w:tr>
      <w:tr w14:paraId="31C7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0" w:type="dxa"/>
            <w:noWrap w:val="0"/>
            <w:vAlign w:val="center"/>
          </w:tcPr>
          <w:p w14:paraId="78F305E5">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728" w:type="dxa"/>
            <w:noWrap w:val="0"/>
            <w:vAlign w:val="center"/>
          </w:tcPr>
          <w:p w14:paraId="65FBF125">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供应商资格声明函</w:t>
            </w:r>
          </w:p>
        </w:tc>
        <w:tc>
          <w:tcPr>
            <w:tcW w:w="4494" w:type="dxa"/>
            <w:noWrap w:val="0"/>
            <w:vAlign w:val="center"/>
          </w:tcPr>
          <w:p w14:paraId="02B6655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提供了符合采购文件要求的《供应商资格声明函》。</w:t>
            </w:r>
          </w:p>
        </w:tc>
        <w:tc>
          <w:tcPr>
            <w:tcW w:w="1660" w:type="dxa"/>
            <w:noWrap w:val="0"/>
            <w:vAlign w:val="center"/>
          </w:tcPr>
          <w:p w14:paraId="4CB3690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741A2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DBADB17">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728" w:type="dxa"/>
            <w:noWrap w:val="0"/>
            <w:vAlign w:val="center"/>
          </w:tcPr>
          <w:p w14:paraId="1E2A9FBA">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4494" w:type="dxa"/>
            <w:noWrap w:val="0"/>
            <w:vAlign w:val="center"/>
          </w:tcPr>
          <w:p w14:paraId="4D71B685">
            <w:pPr>
              <w:keepNext w:val="0"/>
              <w:keepLines w:val="0"/>
              <w:pageBreakBefore w:val="0"/>
              <w:widowControl w:val="0"/>
              <w:tabs>
                <w:tab w:val="left" w:pos="900"/>
                <w:tab w:val="left" w:pos="19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查询渠道：信用中国网站和中国政府采购网（www.creditchina.gov.cn、www.ccgp.gov.cn）；</w:t>
            </w:r>
          </w:p>
          <w:p w14:paraId="4DF41F3D">
            <w:pPr>
              <w:keepNext w:val="0"/>
              <w:keepLines w:val="0"/>
              <w:pageBreakBefore w:val="0"/>
              <w:widowControl w:val="0"/>
              <w:tabs>
                <w:tab w:val="left" w:pos="900"/>
                <w:tab w:val="left" w:pos="19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截止时点：提交响应文件截止时间以后、资格审查阶段采购人或采购代理机构的实际查询时间；</w:t>
            </w:r>
          </w:p>
          <w:p w14:paraId="0F22C83F">
            <w:pPr>
              <w:keepNext w:val="0"/>
              <w:keepLines w:val="0"/>
              <w:pageBreakBefore w:val="0"/>
              <w:widowControl w:val="0"/>
              <w:tabs>
                <w:tab w:val="left" w:pos="900"/>
                <w:tab w:val="left" w:pos="19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信用信息查询记录和证据留存具体方式：查询结果网页打印页作为查询记录和证据，与其他采购文件一并保存；</w:t>
            </w:r>
          </w:p>
          <w:p w14:paraId="3627E008">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tc>
        <w:tc>
          <w:tcPr>
            <w:tcW w:w="1660" w:type="dxa"/>
            <w:noWrap w:val="0"/>
            <w:vAlign w:val="center"/>
          </w:tcPr>
          <w:p w14:paraId="4697420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无须供应商提供，由采购人查询。</w:t>
            </w:r>
          </w:p>
        </w:tc>
      </w:tr>
      <w:tr w14:paraId="148A9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7AF7007">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728" w:type="dxa"/>
            <w:noWrap w:val="0"/>
            <w:vAlign w:val="center"/>
          </w:tcPr>
          <w:p w14:paraId="05D2AB4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4494" w:type="dxa"/>
            <w:noWrap w:val="0"/>
            <w:vAlign w:val="center"/>
          </w:tcPr>
          <w:p w14:paraId="3F14B5BB">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660" w:type="dxa"/>
            <w:noWrap w:val="0"/>
            <w:vAlign w:val="center"/>
          </w:tcPr>
          <w:p w14:paraId="72A8951A">
            <w:pPr>
              <w:keepNext w:val="0"/>
              <w:keepLines w:val="0"/>
              <w:pageBreakBefore w:val="0"/>
              <w:widowControl w:val="0"/>
              <w:tabs>
                <w:tab w:val="left" w:pos="1080"/>
              </w:tabs>
              <w:outlineLvl w:val="9"/>
              <w:rPr>
                <w:rFonts w:hint="eastAsia" w:ascii="宋体" w:hAnsi="宋体" w:eastAsia="宋体" w:cs="宋体"/>
                <w:color w:val="auto"/>
                <w:sz w:val="24"/>
                <w:highlight w:val="none"/>
              </w:rPr>
            </w:pPr>
          </w:p>
        </w:tc>
      </w:tr>
      <w:tr w14:paraId="0CD7B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7A49C013">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728" w:type="dxa"/>
            <w:noWrap w:val="0"/>
            <w:vAlign w:val="center"/>
          </w:tcPr>
          <w:p w14:paraId="46CB91F2">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中小企业声明函</w:t>
            </w:r>
          </w:p>
        </w:tc>
        <w:tc>
          <w:tcPr>
            <w:tcW w:w="4494" w:type="dxa"/>
            <w:noWrap w:val="0"/>
            <w:vAlign w:val="center"/>
          </w:tcPr>
          <w:p w14:paraId="60F394EA">
            <w:pPr>
              <w:keepNext w:val="0"/>
              <w:keepLines w:val="0"/>
              <w:pageBreakBefore w:val="0"/>
              <w:widowControl w:val="0"/>
              <w:tabs>
                <w:tab w:val="left" w:pos="1080"/>
              </w:tabs>
              <w:outlineLvl w:val="9"/>
              <w:rPr>
                <w:rFonts w:hint="eastAsia"/>
                <w:color w:val="auto"/>
                <w:highlight w:val="none"/>
              </w:rPr>
            </w:pPr>
            <w:r>
              <w:rPr>
                <w:rFonts w:hint="eastAsia" w:ascii="宋体" w:hAnsi="宋体" w:eastAsia="宋体" w:cs="宋体"/>
                <w:bCs/>
                <w:color w:val="auto"/>
                <w:sz w:val="24"/>
                <w:highlight w:val="none"/>
              </w:rPr>
              <w:t>供应商单独参与磋商的，应提供中小企业声明函；如为监狱企业或残疾人福利性单位，不必提供中小企业声明函，但须按注1或注2要求提供证明材料。</w:t>
            </w:r>
          </w:p>
          <w:p w14:paraId="264DB9DB">
            <w:pPr>
              <w:keepNext w:val="0"/>
              <w:keepLines w:val="0"/>
              <w:pageBreakBefore w:val="0"/>
              <w:widowControl w:val="0"/>
              <w:tabs>
                <w:tab w:val="left" w:pos="1080"/>
              </w:tabs>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注1：监狱企业须提供由省级以上监狱管理局（常州市含教育矫治局）、戒毒管理局（含新疆生产建设兵团）出具的属于监狱企业的证明文件。</w:t>
            </w:r>
          </w:p>
          <w:p w14:paraId="1921E418">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注2：残疾人福利性单位须按磋商文件要求提供《残疾人福利性单位声明函》。</w:t>
            </w:r>
          </w:p>
        </w:tc>
        <w:tc>
          <w:tcPr>
            <w:tcW w:w="1660" w:type="dxa"/>
            <w:noWrap w:val="0"/>
            <w:vAlign w:val="center"/>
          </w:tcPr>
          <w:p w14:paraId="4404B8C5">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4AF4E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730E557B">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p>
        </w:tc>
        <w:tc>
          <w:tcPr>
            <w:tcW w:w="1728" w:type="dxa"/>
            <w:noWrap w:val="0"/>
            <w:vAlign w:val="center"/>
          </w:tcPr>
          <w:p w14:paraId="6FBF52B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本项目的特定资格要求</w:t>
            </w:r>
          </w:p>
        </w:tc>
        <w:tc>
          <w:tcPr>
            <w:tcW w:w="4494" w:type="dxa"/>
            <w:noWrap w:val="0"/>
            <w:vAlign w:val="center"/>
          </w:tcPr>
          <w:p w14:paraId="67D0FEC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见第一章《采购邀请》</w:t>
            </w:r>
          </w:p>
        </w:tc>
        <w:tc>
          <w:tcPr>
            <w:tcW w:w="1660" w:type="dxa"/>
            <w:noWrap w:val="0"/>
            <w:vAlign w:val="center"/>
          </w:tcPr>
          <w:p w14:paraId="504A31A9">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rPr>
            </w:pPr>
          </w:p>
        </w:tc>
      </w:tr>
      <w:tr w14:paraId="0C283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26635A61">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p>
        </w:tc>
        <w:tc>
          <w:tcPr>
            <w:tcW w:w="1728" w:type="dxa"/>
            <w:noWrap w:val="0"/>
            <w:vAlign w:val="center"/>
          </w:tcPr>
          <w:p w14:paraId="45920A90">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其他特定资格要求</w:t>
            </w:r>
          </w:p>
        </w:tc>
        <w:tc>
          <w:tcPr>
            <w:tcW w:w="4494" w:type="dxa"/>
            <w:noWrap w:val="0"/>
            <w:vAlign w:val="center"/>
          </w:tcPr>
          <w:p w14:paraId="3E9FE11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见第一章《采购邀请》</w:t>
            </w:r>
          </w:p>
        </w:tc>
        <w:tc>
          <w:tcPr>
            <w:tcW w:w="1660" w:type="dxa"/>
            <w:noWrap w:val="0"/>
            <w:vAlign w:val="center"/>
          </w:tcPr>
          <w:p w14:paraId="42A775F1">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提供</w:t>
            </w:r>
            <w:r>
              <w:rPr>
                <w:rFonts w:hint="eastAsia" w:ascii="宋体" w:hAnsi="宋体" w:eastAsia="宋体" w:cs="宋体"/>
                <w:color w:val="auto"/>
                <w:sz w:val="24"/>
                <w:highlight w:val="none"/>
                <w:lang w:val="en-US" w:eastAsia="zh-CN"/>
              </w:rPr>
              <w:t>证书加盖供应商公章。</w:t>
            </w:r>
          </w:p>
        </w:tc>
      </w:tr>
    </w:tbl>
    <w:p w14:paraId="1158D4C4">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14:paraId="1709B56E">
      <w:pPr>
        <w:tabs>
          <w:tab w:val="left" w:pos="900"/>
          <w:tab w:val="left" w:pos="1080"/>
          <w:tab w:val="left" w:pos="1447"/>
        </w:tabs>
        <w:spacing w:line="360" w:lineRule="auto"/>
        <w:jc w:val="center"/>
        <w:outlineLvl w:val="9"/>
        <w:rPr>
          <w:b/>
          <w:color w:val="auto"/>
          <w:sz w:val="24"/>
          <w:highlight w:val="none"/>
        </w:rPr>
      </w:pPr>
      <w:r>
        <w:rPr>
          <w:b/>
          <w:color w:val="auto"/>
          <w:sz w:val="24"/>
          <w:highlight w:val="none"/>
        </w:rPr>
        <w:t>符合性审查要求</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664"/>
        <w:gridCol w:w="6170"/>
      </w:tblGrid>
      <w:tr w14:paraId="130AC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688" w:type="dxa"/>
            <w:noWrap w:val="0"/>
            <w:vAlign w:val="center"/>
          </w:tcPr>
          <w:p w14:paraId="3B3E994D">
            <w:pPr>
              <w:keepNext w:val="0"/>
              <w:keepLines w:val="0"/>
              <w:pageBreakBefore w:val="0"/>
              <w:widowControl/>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64" w:type="dxa"/>
            <w:noWrap w:val="0"/>
            <w:vAlign w:val="center"/>
          </w:tcPr>
          <w:p w14:paraId="3B8CEAC3">
            <w:pPr>
              <w:keepNext w:val="0"/>
              <w:keepLines w:val="0"/>
              <w:pageBreakBefore w:val="0"/>
              <w:widowControl/>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6170" w:type="dxa"/>
            <w:noWrap w:val="0"/>
            <w:vAlign w:val="center"/>
          </w:tcPr>
          <w:p w14:paraId="3025FEE5">
            <w:pPr>
              <w:keepNext w:val="0"/>
              <w:keepLines w:val="0"/>
              <w:pageBreakBefore w:val="0"/>
              <w:widowControl/>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r>
      <w:tr w14:paraId="31A05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D02D8E9">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64" w:type="dxa"/>
            <w:noWrap w:val="0"/>
            <w:vAlign w:val="center"/>
          </w:tcPr>
          <w:p w14:paraId="45B9E44D">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响应函、法定代表人资格证明书和政府采购供应商信用承诺书</w:t>
            </w:r>
          </w:p>
        </w:tc>
        <w:tc>
          <w:tcPr>
            <w:tcW w:w="6170" w:type="dxa"/>
            <w:noWrap w:val="0"/>
            <w:vAlign w:val="center"/>
          </w:tcPr>
          <w:p w14:paraId="039B868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按磋商文件要求提供响应函、法定代表人资格证明书和政府采购供应商信用承诺书；</w:t>
            </w:r>
          </w:p>
        </w:tc>
      </w:tr>
      <w:tr w14:paraId="335B7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960D78D">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664" w:type="dxa"/>
            <w:noWrap w:val="0"/>
            <w:vAlign w:val="center"/>
          </w:tcPr>
          <w:p w14:paraId="5A6B5EB6">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响应完整性</w:t>
            </w:r>
          </w:p>
        </w:tc>
        <w:tc>
          <w:tcPr>
            <w:tcW w:w="6170" w:type="dxa"/>
            <w:noWrap w:val="0"/>
            <w:vAlign w:val="center"/>
          </w:tcPr>
          <w:p w14:paraId="6B4F24E1">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未将一个</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中的内容拆开响应；</w:t>
            </w:r>
          </w:p>
        </w:tc>
      </w:tr>
      <w:tr w14:paraId="77A97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6C1F08B8">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664" w:type="dxa"/>
            <w:noWrap w:val="0"/>
            <w:vAlign w:val="center"/>
          </w:tcPr>
          <w:p w14:paraId="65BE0CA8">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w:t>
            </w:r>
          </w:p>
        </w:tc>
        <w:tc>
          <w:tcPr>
            <w:tcW w:w="6170" w:type="dxa"/>
            <w:noWrap w:val="0"/>
            <w:vAlign w:val="center"/>
          </w:tcPr>
          <w:p w14:paraId="61FF6C92">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响应报价未超过磋商文件中规定的项目预算金额或者项目最高限价；</w:t>
            </w:r>
          </w:p>
        </w:tc>
      </w:tr>
      <w:tr w14:paraId="7D6B8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2C248F9">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664" w:type="dxa"/>
            <w:noWrap w:val="0"/>
            <w:vAlign w:val="center"/>
          </w:tcPr>
          <w:p w14:paraId="08439516">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报价唯一性</w:t>
            </w:r>
          </w:p>
        </w:tc>
        <w:tc>
          <w:tcPr>
            <w:tcW w:w="6170" w:type="dxa"/>
            <w:noWrap w:val="0"/>
            <w:vAlign w:val="center"/>
          </w:tcPr>
          <w:p w14:paraId="3AD47B03">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响应文件未出现可选择性或可调整的报价（磋商文件另有规定的除外）；</w:t>
            </w:r>
          </w:p>
        </w:tc>
      </w:tr>
      <w:tr w14:paraId="0FDB4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01534E70">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664" w:type="dxa"/>
            <w:noWrap w:val="0"/>
            <w:vAlign w:val="center"/>
          </w:tcPr>
          <w:p w14:paraId="258EC517">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6170" w:type="dxa"/>
            <w:noWrap w:val="0"/>
            <w:vAlign w:val="center"/>
          </w:tcPr>
          <w:p w14:paraId="69437E83">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响应文件中承诺的响应有效期满足磋商文件中载明的响应有效期的；</w:t>
            </w:r>
          </w:p>
        </w:tc>
      </w:tr>
      <w:tr w14:paraId="3D8F5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4028482">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664" w:type="dxa"/>
            <w:noWrap w:val="0"/>
            <w:vAlign w:val="center"/>
          </w:tcPr>
          <w:p w14:paraId="282F3B5C">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签署、加盖公章</w:t>
            </w:r>
          </w:p>
        </w:tc>
        <w:tc>
          <w:tcPr>
            <w:tcW w:w="6170" w:type="dxa"/>
            <w:noWrap w:val="0"/>
            <w:vAlign w:val="center"/>
          </w:tcPr>
          <w:p w14:paraId="4E439E5D">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按照磋商文件要求签署、加盖公章的；</w:t>
            </w:r>
          </w:p>
        </w:tc>
      </w:tr>
      <w:tr w14:paraId="4A523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549DAA8C">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664" w:type="dxa"/>
            <w:noWrap w:val="0"/>
            <w:vAlign w:val="center"/>
          </w:tcPr>
          <w:p w14:paraId="5FDEFBA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实质性格式</w:t>
            </w:r>
          </w:p>
        </w:tc>
        <w:tc>
          <w:tcPr>
            <w:tcW w:w="6170" w:type="dxa"/>
            <w:noWrap w:val="0"/>
            <w:vAlign w:val="center"/>
          </w:tcPr>
          <w:p w14:paraId="5A8843C1">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标记为“实质性格式”的文件均按磋商文件要求提供；</w:t>
            </w:r>
          </w:p>
        </w:tc>
      </w:tr>
      <w:tr w14:paraId="650F9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02EBD284">
            <w:pPr>
              <w:keepNext w:val="0"/>
              <w:keepLines w:val="0"/>
              <w:pageBreakBefore w:val="0"/>
              <w:widowControl/>
              <w:jc w:val="center"/>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c>
          <w:tcPr>
            <w:tcW w:w="1664" w:type="dxa"/>
            <w:noWrap w:val="0"/>
            <w:vAlign w:val="center"/>
          </w:tcPr>
          <w:p w14:paraId="02262146">
            <w:pPr>
              <w:widowControl/>
              <w:jc w:val="left"/>
              <w:rPr>
                <w:rFonts w:hint="eastAsia" w:ascii="宋体" w:hAnsi="宋体" w:eastAsia="宋体" w:cs="宋体"/>
                <w:color w:val="auto"/>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6170" w:type="dxa"/>
            <w:noWrap w:val="0"/>
            <w:vAlign w:val="center"/>
          </w:tcPr>
          <w:p w14:paraId="5354B0E2">
            <w:pPr>
              <w:widowControl/>
              <w:jc w:val="left"/>
              <w:rPr>
                <w:rFonts w:hint="eastAsia" w:ascii="宋体" w:hAnsi="宋体" w:eastAsia="宋体" w:cs="宋体"/>
                <w:color w:val="auto"/>
                <w:sz w:val="24"/>
                <w:highlight w:val="none"/>
              </w:rPr>
            </w:pPr>
            <w:r>
              <w:rPr>
                <w:color w:val="auto"/>
                <w:kern w:val="0"/>
                <w:sz w:val="24"/>
                <w:highlight w:val="none"/>
              </w:rPr>
              <w:t>响应文件满足磋商文件</w:t>
            </w:r>
            <w:r>
              <w:rPr>
                <w:color w:val="auto"/>
                <w:sz w:val="24"/>
                <w:highlight w:val="none"/>
              </w:rPr>
              <w:t>第</w:t>
            </w:r>
            <w:r>
              <w:rPr>
                <w:rFonts w:hint="eastAsia"/>
                <w:color w:val="auto"/>
                <w:sz w:val="24"/>
                <w:highlight w:val="none"/>
                <w:lang w:val="en-US" w:eastAsia="zh-CN"/>
              </w:rPr>
              <w:t>四</w:t>
            </w:r>
            <w:r>
              <w:rPr>
                <w:color w:val="auto"/>
                <w:sz w:val="24"/>
                <w:highlight w:val="none"/>
              </w:rPr>
              <w:t>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7D91E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0FE2CC8A">
            <w:pPr>
              <w:keepNext w:val="0"/>
              <w:keepLines w:val="0"/>
              <w:pageBreakBefore w:val="0"/>
              <w:widowControl/>
              <w:jc w:val="center"/>
              <w:outlineLvl w:val="9"/>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1664" w:type="dxa"/>
            <w:noWrap w:val="0"/>
            <w:vAlign w:val="center"/>
          </w:tcPr>
          <w:p w14:paraId="12C80CD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报价的修正</w:t>
            </w:r>
          </w:p>
        </w:tc>
        <w:tc>
          <w:tcPr>
            <w:tcW w:w="6170" w:type="dxa"/>
            <w:noWrap w:val="0"/>
            <w:vAlign w:val="center"/>
          </w:tcPr>
          <w:p w14:paraId="14143E21">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响应文件报价出现前后不一致时，供应商对修正后的报价予以确认；</w:t>
            </w:r>
          </w:p>
        </w:tc>
      </w:tr>
      <w:tr w14:paraId="00677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8A4411F">
            <w:pPr>
              <w:widowControl/>
              <w:jc w:val="center"/>
              <w:rPr>
                <w:rFonts w:hint="default" w:ascii="宋体" w:hAnsi="宋体" w:eastAsia="宋体" w:cs="宋体"/>
                <w:color w:val="auto"/>
                <w:sz w:val="24"/>
                <w:highlight w:val="none"/>
                <w:lang w:val="en-US"/>
              </w:rPr>
            </w:pPr>
            <w:r>
              <w:rPr>
                <w:rFonts w:hint="eastAsia" w:ascii="宋体" w:hAnsi="宋体" w:cs="宋体"/>
                <w:color w:val="auto"/>
                <w:kern w:val="0"/>
                <w:sz w:val="24"/>
                <w:highlight w:val="none"/>
                <w:lang w:val="en-US" w:eastAsia="zh-CN"/>
              </w:rPr>
              <w:t>10</w:t>
            </w:r>
          </w:p>
        </w:tc>
        <w:tc>
          <w:tcPr>
            <w:tcW w:w="1664" w:type="dxa"/>
            <w:noWrap w:val="0"/>
            <w:vAlign w:val="center"/>
          </w:tcPr>
          <w:p w14:paraId="6A6313B3">
            <w:pPr>
              <w:widowControl/>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报价合理性</w:t>
            </w:r>
          </w:p>
        </w:tc>
        <w:tc>
          <w:tcPr>
            <w:tcW w:w="6170" w:type="dxa"/>
            <w:noWrap w:val="0"/>
            <w:vAlign w:val="center"/>
          </w:tcPr>
          <w:p w14:paraId="67737BA8">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按照财库〔2026〕2号《关于推动解决政府采购异常低价问题的通知》要求：</w:t>
            </w:r>
          </w:p>
          <w:p w14:paraId="27432D7E">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（一）政府采购评审中出现下列情形之一的，评审委员会应当启动异常低价投标（响应）审查程序：</w:t>
            </w:r>
          </w:p>
          <w:p w14:paraId="516C5B3A">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1.投标（响应）报价低于全部通过符合性审查供应商投标（响应）报价平均值50%的，即投标（响应）报价&lt;全部通过符合性审查供应商投标（响应）报价平均值×50%；</w:t>
            </w:r>
          </w:p>
          <w:p w14:paraId="61A340CF">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2.投标（响应）报价低于通过符合性审查的次低报价供应商投标（响应）报价50%的，即投标（响应）报价&lt;通过符合性审查的次低报价供应商投标（响应）报价×50%；</w:t>
            </w:r>
          </w:p>
          <w:p w14:paraId="1F467DD2">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3.投标（响应）报价低于采购项目最高限价45%的，即投标（响应）报价&lt;采购项目最高限价×45%；</w:t>
            </w:r>
          </w:p>
          <w:p w14:paraId="31E952B8">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4.评审委员会基于专业判断，认为供应商报价过低，有可能影响产品质量或者不能诚信履约的其他情形。</w:t>
            </w:r>
          </w:p>
          <w:p w14:paraId="03B3BC3D">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5BE763">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43C88A">
            <w:pPr>
              <w:keepNext w:val="0"/>
              <w:keepLines w:val="0"/>
              <w:pageBreakBefore w:val="0"/>
              <w:widowControl/>
              <w:kinsoku/>
              <w:wordWrap/>
              <w:overflowPunct/>
              <w:topLinePunct w:val="0"/>
              <w:autoSpaceDE/>
              <w:autoSpaceDN/>
              <w:bidi w:val="0"/>
              <w:adjustRightInd/>
              <w:snapToGrid/>
              <w:jc w:val="left"/>
              <w:textAlignment w:val="auto"/>
              <w:outlineLvl w:val="9"/>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8E517A1">
            <w:pPr>
              <w:widowControl/>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4921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38CCD56">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1664" w:type="dxa"/>
            <w:noWrap w:val="0"/>
            <w:vAlign w:val="center"/>
          </w:tcPr>
          <w:p w14:paraId="65A825A3">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公平竞争</w:t>
            </w:r>
          </w:p>
        </w:tc>
        <w:tc>
          <w:tcPr>
            <w:tcW w:w="6170" w:type="dxa"/>
            <w:noWrap w:val="0"/>
            <w:vAlign w:val="center"/>
          </w:tcPr>
          <w:p w14:paraId="31040D94">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供应商遵循公平竞争的原则，不存在恶意串通，妨碍其他供应商的竞争行为，不存在损害采购人或者其他供应商的合法权益情形的；</w:t>
            </w:r>
          </w:p>
        </w:tc>
      </w:tr>
      <w:tr w14:paraId="7DC5E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8" w:type="dxa"/>
            <w:noWrap w:val="0"/>
            <w:vAlign w:val="center"/>
          </w:tcPr>
          <w:p w14:paraId="134AD6EC">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p>
        </w:tc>
        <w:tc>
          <w:tcPr>
            <w:tcW w:w="1664" w:type="dxa"/>
            <w:noWrap w:val="0"/>
            <w:vAlign w:val="center"/>
          </w:tcPr>
          <w:p w14:paraId="7618660C">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串通响应</w:t>
            </w:r>
          </w:p>
        </w:tc>
        <w:tc>
          <w:tcPr>
            <w:tcW w:w="6170" w:type="dxa"/>
            <w:noWrap w:val="0"/>
            <w:vAlign w:val="center"/>
          </w:tcPr>
          <w:p w14:paraId="2CFA818C">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14:paraId="5509B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DA332AA">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1664" w:type="dxa"/>
            <w:noWrap w:val="0"/>
            <w:vAlign w:val="center"/>
          </w:tcPr>
          <w:p w14:paraId="0342D458">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附加条件</w:t>
            </w:r>
          </w:p>
        </w:tc>
        <w:tc>
          <w:tcPr>
            <w:tcW w:w="6170" w:type="dxa"/>
            <w:noWrap w:val="0"/>
            <w:vAlign w:val="center"/>
          </w:tcPr>
          <w:p w14:paraId="6965F4B8">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响应文件未含有采购人不能接受的附加条件的；</w:t>
            </w:r>
          </w:p>
        </w:tc>
      </w:tr>
      <w:tr w14:paraId="1E759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75A6810">
            <w:pPr>
              <w:widowControl/>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664" w:type="dxa"/>
            <w:noWrap w:val="0"/>
            <w:vAlign w:val="center"/>
          </w:tcPr>
          <w:p w14:paraId="20C0455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其他无效情形</w:t>
            </w:r>
          </w:p>
        </w:tc>
        <w:tc>
          <w:tcPr>
            <w:tcW w:w="6170" w:type="dxa"/>
            <w:noWrap w:val="0"/>
            <w:vAlign w:val="center"/>
          </w:tcPr>
          <w:p w14:paraId="395BF3C6">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供应商、响应文件不存在不符合法律、法规和磋商文件规定的其他无效情形。</w:t>
            </w:r>
          </w:p>
        </w:tc>
      </w:tr>
    </w:tbl>
    <w:p w14:paraId="0A939A29">
      <w:pPr>
        <w:numPr>
          <w:ilvl w:val="0"/>
          <w:numId w:val="11"/>
        </w:numPr>
        <w:tabs>
          <w:tab w:val="left" w:pos="360"/>
        </w:tabs>
        <w:spacing w:line="360" w:lineRule="auto"/>
        <w:outlineLvl w:val="1"/>
        <w:rPr>
          <w:color w:val="auto"/>
          <w:sz w:val="24"/>
          <w:highlight w:val="none"/>
        </w:rPr>
      </w:pPr>
      <w:r>
        <w:rPr>
          <w:color w:val="auto"/>
          <w:sz w:val="24"/>
          <w:highlight w:val="none"/>
        </w:rPr>
        <w:t>磋商、响应文件有关事项的澄清、说明或者更正和最终报价</w:t>
      </w:r>
    </w:p>
    <w:p w14:paraId="7C7FD634">
      <w:pPr>
        <w:numPr>
          <w:ilvl w:val="1"/>
          <w:numId w:val="11"/>
        </w:numPr>
        <w:tabs>
          <w:tab w:val="left" w:pos="1080"/>
        </w:tabs>
        <w:spacing w:line="360" w:lineRule="auto"/>
        <w:ind w:left="1077" w:hanging="720"/>
        <w:rPr>
          <w:color w:val="auto"/>
          <w:sz w:val="24"/>
          <w:highlight w:val="none"/>
        </w:rPr>
      </w:pPr>
      <w:r>
        <w:rPr>
          <w:color w:val="auto"/>
          <w:sz w:val="24"/>
          <w:highlight w:val="none"/>
        </w:rPr>
        <w:t>磋商小组所有成员应当集中与单一供应商分别进行磋商，并给予所有参加磋商的供应商平等的磋商机会。</w:t>
      </w:r>
    </w:p>
    <w:p w14:paraId="5EEE912A">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EEF8F38">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对磋商文件作出的实质性变动是磋商文件的有效组成部分，磋商小组应当及时</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以书面形式同时通知所有参加磋商的供应商。</w:t>
      </w:r>
    </w:p>
    <w:p w14:paraId="671008C0">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821D3D1">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响应文件的澄清、说明或者更正</w:t>
      </w:r>
      <w:r>
        <w:rPr>
          <w:rFonts w:hint="eastAsia"/>
          <w:color w:val="auto"/>
          <w:sz w:val="24"/>
          <w:highlight w:val="none"/>
        </w:rPr>
        <w:t>：</w:t>
      </w:r>
    </w:p>
    <w:p w14:paraId="26A316A6">
      <w:pPr>
        <w:tabs>
          <w:tab w:val="left" w:pos="1980"/>
        </w:tabs>
        <w:spacing w:line="360" w:lineRule="auto"/>
        <w:ind w:left="1080"/>
        <w:rPr>
          <w:color w:val="auto"/>
          <w:sz w:val="24"/>
          <w:highlight w:val="none"/>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1BBD7BB4">
      <w:pPr>
        <w:numPr>
          <w:ilvl w:val="1"/>
          <w:numId w:val="11"/>
        </w:numPr>
        <w:tabs>
          <w:tab w:val="left" w:pos="1080"/>
          <w:tab w:val="left" w:pos="1872"/>
        </w:tabs>
        <w:spacing w:line="360" w:lineRule="auto"/>
        <w:ind w:left="1077" w:hanging="720"/>
        <w:rPr>
          <w:b/>
          <w:color w:val="auto"/>
          <w:sz w:val="24"/>
          <w:highlight w:val="none"/>
        </w:rPr>
      </w:pPr>
      <w:r>
        <w:rPr>
          <w:b/>
          <w:color w:val="auto"/>
          <w:sz w:val="24"/>
          <w:highlight w:val="none"/>
        </w:rPr>
        <w:t>磋商结束后，磋商小组将要求所有实质性响应的供应商在规定时间内</w:t>
      </w:r>
      <w:r>
        <w:rPr>
          <w:rFonts w:hint="eastAsia"/>
          <w:b/>
          <w:color w:val="auto"/>
          <w:sz w:val="24"/>
          <w:highlight w:val="none"/>
        </w:rPr>
        <w:t>通过</w:t>
      </w:r>
      <w:r>
        <w:rPr>
          <w:rFonts w:hint="eastAsia"/>
          <w:b/>
          <w:color w:val="auto"/>
          <w:sz w:val="24"/>
          <w:highlight w:val="none"/>
          <w:lang w:eastAsia="zh-CN"/>
        </w:rPr>
        <w:t>“苏采云”政府采购一体化平台</w:t>
      </w:r>
      <w:r>
        <w:rPr>
          <w:rFonts w:hint="eastAsia"/>
          <w:b/>
          <w:color w:val="auto"/>
          <w:sz w:val="24"/>
          <w:highlight w:val="none"/>
        </w:rPr>
        <w:t>系统</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b/>
          <w:color w:val="auto"/>
          <w:sz w:val="24"/>
          <w:highlight w:val="none"/>
          <w:lang w:eastAsia="zh-CN"/>
        </w:rPr>
        <w:t>。</w:t>
      </w:r>
    </w:p>
    <w:p w14:paraId="4C90F9A4">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65E2FBBE">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最终报价是供应商响应文件的有效组成部分。</w:t>
      </w:r>
    </w:p>
    <w:p w14:paraId="52FDB6BD">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已提交响应文件的供应商，在提交最终报价之前，可以根据磋商情况退出磋商。</w:t>
      </w:r>
    </w:p>
    <w:p w14:paraId="024C5F8D">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最终报价的算术修正及政策调整</w:t>
      </w:r>
    </w:p>
    <w:p w14:paraId="71D6A51C">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中的内容拆开响应，其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53BC8F22">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最终报价出现前后不一致的，按照下列规定修正：</w:t>
      </w:r>
    </w:p>
    <w:p w14:paraId="76064F5E">
      <w:pPr>
        <w:keepNext w:val="0"/>
        <w:keepLines w:val="0"/>
        <w:pageBreakBefore w:val="0"/>
        <w:numPr>
          <w:ilvl w:val="2"/>
          <w:numId w:val="11"/>
        </w:numPr>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竞争性磋商文件对于报价修正是否另有规定：</w:t>
      </w:r>
    </w:p>
    <w:p w14:paraId="7FBA15FF">
      <w:pPr>
        <w:keepNext w:val="0"/>
        <w:keepLines w:val="0"/>
        <w:pageBreakBefore w:val="0"/>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□有，具体规定为：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45CAE9ED">
      <w:pPr>
        <w:keepNext w:val="0"/>
        <w:keepLines w:val="0"/>
        <w:pageBreakBefore w:val="0"/>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无，按下述3.2.2-3.2.5项规定修正。</w:t>
      </w:r>
    </w:p>
    <w:p w14:paraId="05CF53DF">
      <w:pPr>
        <w:keepNext w:val="0"/>
        <w:keepLines w:val="0"/>
        <w:pageBreakBefore w:val="0"/>
        <w:numPr>
          <w:ilvl w:val="2"/>
          <w:numId w:val="11"/>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14:paraId="565BCA5D">
      <w:pPr>
        <w:keepNext w:val="0"/>
        <w:keepLines w:val="0"/>
        <w:pageBreakBefore w:val="0"/>
        <w:numPr>
          <w:ilvl w:val="2"/>
          <w:numId w:val="11"/>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单价金额小数点或者百分比有明显错位的，以最终报价一览表的总价为准，并修改单价；</w:t>
      </w:r>
    </w:p>
    <w:p w14:paraId="6BB483E3">
      <w:pPr>
        <w:keepNext w:val="0"/>
        <w:keepLines w:val="0"/>
        <w:pageBreakBefore w:val="0"/>
        <w:numPr>
          <w:ilvl w:val="2"/>
          <w:numId w:val="11"/>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14:paraId="0105BF1A">
      <w:pPr>
        <w:keepNext w:val="0"/>
        <w:keepLines w:val="0"/>
        <w:pageBreakBefore w:val="0"/>
        <w:numPr>
          <w:ilvl w:val="2"/>
          <w:numId w:val="11"/>
        </w:numPr>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231B2E83">
      <w:pPr>
        <w:numPr>
          <w:ilvl w:val="1"/>
          <w:numId w:val="11"/>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eastAsia="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w:t>
      </w:r>
    </w:p>
    <w:p w14:paraId="0FCFE2ED">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磋商环节及提交最终报价后如出现以下情况的，供应商的</w:t>
      </w:r>
      <w:r>
        <w:rPr>
          <w:rFonts w:hint="eastAsia" w:ascii="宋体" w:hAnsi="宋体" w:eastAsia="宋体" w:cs="宋体"/>
          <w:b/>
          <w:color w:val="auto"/>
          <w:sz w:val="24"/>
          <w:highlight w:val="none"/>
        </w:rPr>
        <w:t>响应文件无效</w:t>
      </w:r>
      <w:r>
        <w:rPr>
          <w:rFonts w:hint="eastAsia" w:ascii="宋体" w:hAnsi="宋体" w:eastAsia="宋体" w:cs="宋体"/>
          <w:color w:val="auto"/>
          <w:sz w:val="24"/>
          <w:highlight w:val="none"/>
        </w:rPr>
        <w:t>：</w:t>
      </w:r>
    </w:p>
    <w:p w14:paraId="0E3B8B1F">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供应商对实质性变动不予确认的；</w:t>
      </w:r>
    </w:p>
    <w:p w14:paraId="0646F995">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不满足磋商文件★号条款或磋商文件技术指标超出磋商文件《采购需求》中主要技术参数允许偏差的最大范围的（如有）；</w:t>
      </w:r>
    </w:p>
    <w:p w14:paraId="4F614802">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未按照磋商小组规定的时间、逾期提交最终报价的；</w:t>
      </w:r>
    </w:p>
    <w:p w14:paraId="6703D709">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如供应商的最终报价超过竞争性磋商文件中规定的项目预算金额或者项目最高限价的；</w:t>
      </w:r>
    </w:p>
    <w:p w14:paraId="743DE876">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响应文件中出现可选择性或可调整的报价的（竞争性磋商文件另有规定的除外）；</w:t>
      </w:r>
    </w:p>
    <w:p w14:paraId="6A756ED5">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最终报价出现前后不一致，供应商对修正后的报价不予确认的；</w:t>
      </w:r>
    </w:p>
    <w:p w14:paraId="3B3E522A">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bookmarkEnd w:id="560"/>
    <w:bookmarkEnd w:id="561"/>
    <w:p w14:paraId="7A170EF8">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64DB6E77">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1FEDE2D">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竞争性磋商文件中没有规定的评审标准不得作为评审依据。</w:t>
      </w:r>
    </w:p>
    <w:p w14:paraId="09EA8421">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6C7101E7">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709FF80F">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577" w:name="_Toc305158814"/>
      <w:bookmarkStart w:id="578" w:name="_Toc226309790"/>
      <w:bookmarkStart w:id="579" w:name="_Toc164608660"/>
      <w:bookmarkStart w:id="580" w:name="_Toc127151546"/>
      <w:bookmarkStart w:id="581" w:name="_Toc151193644"/>
      <w:bookmarkStart w:id="582" w:name="_Toc150480784"/>
      <w:bookmarkStart w:id="583" w:name="_Toc151193788"/>
      <w:bookmarkStart w:id="584" w:name="_Toc151193716"/>
      <w:bookmarkStart w:id="585" w:name="_Toc305158888"/>
      <w:bookmarkStart w:id="586" w:name="_Toc127161460"/>
      <w:bookmarkStart w:id="587" w:name="_Toc164608815"/>
      <w:bookmarkStart w:id="588" w:name="_Toc151193934"/>
      <w:bookmarkStart w:id="589" w:name="_Toc226965819"/>
      <w:bookmarkStart w:id="590" w:name="_Toc164229387"/>
      <w:bookmarkStart w:id="591" w:name="_Toc150509297"/>
      <w:bookmarkStart w:id="592" w:name="_Toc226965736"/>
      <w:bookmarkStart w:id="593" w:name="_Toc142311048"/>
      <w:bookmarkStart w:id="594" w:name="_Toc127151747"/>
      <w:bookmarkStart w:id="595" w:name="_Toc164229241"/>
      <w:bookmarkStart w:id="596" w:name="_Toc164351640"/>
      <w:bookmarkStart w:id="597" w:name="_Toc265228384"/>
      <w:bookmarkStart w:id="598" w:name="_Ref467307010"/>
      <w:bookmarkStart w:id="599" w:name="_Toc226337242"/>
      <w:bookmarkStart w:id="600" w:name="_Toc150774646"/>
      <w:bookmarkStart w:id="601" w:name="_Toc151193860"/>
      <w:bookmarkStart w:id="602" w:name="_Toc195842911"/>
      <w:bookmarkStart w:id="603" w:name="_Toc151190173"/>
      <w:bookmarkStart w:id="604" w:name="_Toc149720839"/>
      <w:bookmarkStart w:id="605" w:name="_Toc520356170"/>
      <w:bookmarkStart w:id="606" w:name="_Toc150774751"/>
      <w:bookmarkStart w:id="607" w:name="_Toc264969236"/>
      <w:r>
        <w:rPr>
          <w:rFonts w:hint="eastAsia" w:ascii="宋体" w:hAnsi="宋体" w:eastAsia="宋体" w:cs="宋体"/>
          <w:color w:val="auto"/>
          <w:sz w:val="24"/>
          <w:highlight w:val="none"/>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00AE0F9F">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5FC3F7A">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磋商小组根据上述供应商排序，依次推荐排序前</w:t>
      </w:r>
      <w:r>
        <w:rPr>
          <w:rFonts w:hint="eastAsia" w:ascii="宋体" w:hAnsi="宋体" w:eastAsia="宋体" w:cs="宋体"/>
          <w:color w:val="auto"/>
          <w:sz w:val="24"/>
          <w:highlight w:val="none"/>
        </w:rPr>
        <w:t>3名</w:t>
      </w:r>
      <w:r>
        <w:rPr>
          <w:rFonts w:hint="eastAsia" w:ascii="宋体" w:hAnsi="宋体" w:eastAsia="宋体" w:cs="宋体"/>
          <w:color w:val="auto"/>
          <w:sz w:val="24"/>
          <w:szCs w:val="20"/>
          <w:highlight w:val="none"/>
        </w:rPr>
        <w:t>的供应商为</w:t>
      </w:r>
      <w:r>
        <w:rPr>
          <w:rFonts w:hint="eastAsia" w:ascii="宋体" w:hAnsi="宋体" w:eastAsia="宋体" w:cs="宋体"/>
          <w:color w:val="auto"/>
          <w:sz w:val="24"/>
          <w:szCs w:val="21"/>
          <w:highlight w:val="none"/>
        </w:rPr>
        <w:t>成交候选供应商</w:t>
      </w:r>
      <w:r>
        <w:rPr>
          <w:rFonts w:hint="eastAsia" w:ascii="宋体" w:hAnsi="宋体" w:eastAsia="宋体" w:cs="宋体"/>
          <w:color w:val="auto"/>
          <w:sz w:val="24"/>
          <w:szCs w:val="20"/>
          <w:highlight w:val="none"/>
        </w:rPr>
        <w:t>（若在磋商文件允许的情形下提交最终报价的供应商为二家，则依次推荐二名供应商为成交候选供应商），并编写评审报告。</w:t>
      </w:r>
    </w:p>
    <w:p w14:paraId="13352572">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磋商小组要对评分汇总情况进行复核，特别是对排名第一的、报价最低的、响应文件被认定为无效的情形进行重点复核。</w:t>
      </w:r>
    </w:p>
    <w:p w14:paraId="6F4CBD2F">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22D872B3">
      <w:pPr>
        <w:keepNext w:val="0"/>
        <w:keepLines w:val="0"/>
        <w:pageBreakBefore w:val="0"/>
        <w:widowControl w:val="0"/>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磋商小组在评审过程中发现供应商有行贿、提供虚假材料或者串通等违法行为时，有向采购人、采购代理机构或者有关部门报告的职责。</w:t>
      </w:r>
    </w:p>
    <w:p w14:paraId="7DD502CC">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宋体"/>
          <w:color w:val="auto"/>
          <w:sz w:val="24"/>
          <w:highlight w:val="none"/>
        </w:rPr>
        <w:br w:type="page" w:clear="all"/>
      </w:r>
      <w:r>
        <w:rPr>
          <w:rFonts w:hint="eastAsia" w:ascii="宋体" w:hAnsi="宋体" w:eastAsia="宋体" w:cs="Times New Roman"/>
          <w:b/>
          <w:bCs/>
          <w:color w:val="auto"/>
          <w:sz w:val="28"/>
          <w:szCs w:val="28"/>
          <w:highlight w:val="none"/>
          <w:lang w:val="en-US" w:eastAsia="zh-CN"/>
        </w:rPr>
        <w:t>二、评审标准</w:t>
      </w:r>
    </w:p>
    <w:tbl>
      <w:tblPr>
        <w:tblStyle w:val="450"/>
        <w:tblW w:w="50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4"/>
        <w:gridCol w:w="1118"/>
        <w:gridCol w:w="604"/>
        <w:gridCol w:w="6185"/>
      </w:tblGrid>
      <w:tr w14:paraId="31ECC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1DD5A263">
            <w:pPr>
              <w:tabs>
                <w:tab w:val="left" w:pos="426"/>
              </w:tabs>
              <w:autoSpaceDE w:val="0"/>
              <w:autoSpaceDN w:val="0"/>
              <w:adjustRightInd w:val="0"/>
              <w:spacing w:line="460" w:lineRule="exact"/>
              <w:jc w:val="center"/>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序号</w:t>
            </w:r>
          </w:p>
        </w:tc>
        <w:tc>
          <w:tcPr>
            <w:tcW w:w="663" w:type="pct"/>
            <w:vAlign w:val="center"/>
          </w:tcPr>
          <w:p w14:paraId="73322795">
            <w:pPr>
              <w:tabs>
                <w:tab w:val="left" w:pos="426"/>
              </w:tabs>
              <w:autoSpaceDE w:val="0"/>
              <w:autoSpaceDN w:val="0"/>
              <w:adjustRightInd w:val="0"/>
              <w:spacing w:line="460" w:lineRule="exact"/>
              <w:jc w:val="center"/>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评审因素</w:t>
            </w:r>
          </w:p>
        </w:tc>
        <w:tc>
          <w:tcPr>
            <w:tcW w:w="358" w:type="pct"/>
            <w:vAlign w:val="center"/>
          </w:tcPr>
          <w:p w14:paraId="233EC835">
            <w:pPr>
              <w:tabs>
                <w:tab w:val="left" w:pos="426"/>
              </w:tabs>
              <w:autoSpaceDE w:val="0"/>
              <w:autoSpaceDN w:val="0"/>
              <w:adjustRightInd w:val="0"/>
              <w:spacing w:line="460" w:lineRule="exact"/>
              <w:jc w:val="center"/>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分值</w:t>
            </w:r>
          </w:p>
        </w:tc>
        <w:tc>
          <w:tcPr>
            <w:tcW w:w="3667" w:type="pct"/>
            <w:vAlign w:val="center"/>
          </w:tcPr>
          <w:p w14:paraId="214D904E">
            <w:pPr>
              <w:tabs>
                <w:tab w:val="left" w:pos="426"/>
              </w:tabs>
              <w:autoSpaceDE w:val="0"/>
              <w:autoSpaceDN w:val="0"/>
              <w:adjustRightInd w:val="0"/>
              <w:spacing w:line="460" w:lineRule="exact"/>
              <w:jc w:val="center"/>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评分标准</w:t>
            </w:r>
          </w:p>
        </w:tc>
      </w:tr>
      <w:tr w14:paraId="1C8C1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vAlign w:val="center"/>
          </w:tcPr>
          <w:p w14:paraId="777B5581">
            <w:pPr>
              <w:tabs>
                <w:tab w:val="left" w:pos="426"/>
              </w:tabs>
              <w:autoSpaceDE w:val="0"/>
              <w:autoSpaceDN w:val="0"/>
              <w:adjustRightInd w:val="0"/>
              <w:spacing w:line="460" w:lineRule="exact"/>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一、报价（</w:t>
            </w:r>
            <w:r>
              <w:rPr>
                <w:rFonts w:hint="eastAsia" w:ascii="宋体" w:hAnsi="宋体" w:cs="宋体"/>
                <w:b/>
                <w:color w:val="auto"/>
                <w:kern w:val="0"/>
                <w:sz w:val="24"/>
                <w:highlight w:val="none"/>
                <w:lang w:val="en-US" w:eastAsia="zh-CN"/>
              </w:rPr>
              <w:t>1</w:t>
            </w:r>
            <w:r>
              <w:rPr>
                <w:rFonts w:hint="eastAsia" w:ascii="宋体" w:hAnsi="宋体" w:cs="宋体"/>
                <w:b/>
                <w:color w:val="auto"/>
                <w:kern w:val="0"/>
                <w:sz w:val="24"/>
                <w:highlight w:val="none"/>
                <w:lang w:eastAsia="en-US"/>
              </w:rPr>
              <w:t>0分）</w:t>
            </w:r>
          </w:p>
        </w:tc>
      </w:tr>
      <w:tr w14:paraId="77E69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3CE6FDED">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1</w:t>
            </w:r>
          </w:p>
        </w:tc>
        <w:tc>
          <w:tcPr>
            <w:tcW w:w="663" w:type="pct"/>
            <w:vAlign w:val="center"/>
          </w:tcPr>
          <w:p w14:paraId="694CD809">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价格</w:t>
            </w:r>
          </w:p>
        </w:tc>
        <w:tc>
          <w:tcPr>
            <w:tcW w:w="358" w:type="pct"/>
            <w:vAlign w:val="center"/>
          </w:tcPr>
          <w:p w14:paraId="4DA723DF">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en-US"/>
              </w:rPr>
              <w:t>0</w:t>
            </w:r>
          </w:p>
        </w:tc>
        <w:tc>
          <w:tcPr>
            <w:tcW w:w="3667" w:type="pct"/>
            <w:vAlign w:val="center"/>
          </w:tcPr>
          <w:p w14:paraId="03597F01">
            <w:pPr>
              <w:autoSpaceDE/>
              <w:autoSpaceDN/>
              <w:adjustRightInd w:val="0"/>
              <w:snapToGrid w:val="0"/>
              <w:spacing w:line="460" w:lineRule="exact"/>
              <w:rPr>
                <w:rFonts w:hint="eastAsia" w:ascii="宋体" w:hAnsi="宋体" w:cs="宋体"/>
                <w:color w:val="auto"/>
                <w:sz w:val="24"/>
                <w:highlight w:val="none"/>
                <w:lang w:val="zh-Hans"/>
              </w:rPr>
            </w:pPr>
            <w:r>
              <w:rPr>
                <w:rFonts w:hint="eastAsia" w:ascii="宋体" w:hAnsi="宋体" w:cs="宋体"/>
                <w:color w:val="auto"/>
                <w:sz w:val="24"/>
                <w:highlight w:val="none"/>
                <w:lang w:val="zh-Hans"/>
              </w:rPr>
              <w:t>价格分采用低价优先法计算。满足磋商文件要求且最终报价最低（即优惠率最高）的供应商为磋商基准价提供者，其价格分为满分。其他供应商的价格分统一按照下列公式计算：</w:t>
            </w:r>
          </w:p>
          <w:p w14:paraId="4856601F">
            <w:pPr>
              <w:autoSpaceDE/>
              <w:autoSpaceDN/>
              <w:adjustRightInd w:val="0"/>
              <w:snapToGrid w:val="0"/>
              <w:spacing w:line="460" w:lineRule="exact"/>
              <w:rPr>
                <w:rFonts w:hint="eastAsia" w:ascii="宋体" w:hAnsi="宋体" w:cs="宋体"/>
                <w:color w:val="auto"/>
                <w:sz w:val="24"/>
                <w:highlight w:val="none"/>
                <w:lang w:val="zh-Hans"/>
              </w:rPr>
            </w:pPr>
            <w:r>
              <w:rPr>
                <w:rFonts w:hint="eastAsia" w:ascii="宋体" w:hAnsi="宋体" w:cs="宋体"/>
                <w:color w:val="auto"/>
                <w:sz w:val="24"/>
                <w:highlight w:val="none"/>
                <w:lang w:val="zh-Hans"/>
              </w:rPr>
              <w:t>磋商报价得分 = [（1-最高优惠率）/（1-供应商最终优惠率）] *10</w:t>
            </w:r>
          </w:p>
          <w:p w14:paraId="3D550487">
            <w:pPr>
              <w:autoSpaceDE/>
              <w:autoSpaceDN/>
              <w:adjustRightInd w:val="0"/>
              <w:snapToGrid w:val="0"/>
              <w:spacing w:line="460" w:lineRule="exact"/>
              <w:rPr>
                <w:rFonts w:ascii="宋体" w:hAnsi="宋体" w:cs="宋体"/>
                <w:color w:val="auto"/>
                <w:kern w:val="0"/>
                <w:sz w:val="24"/>
                <w:highlight w:val="none"/>
                <w:lang w:eastAsia="en-US"/>
              </w:rPr>
            </w:pPr>
            <w:r>
              <w:rPr>
                <w:rFonts w:hint="eastAsia" w:ascii="宋体" w:hAnsi="宋体" w:cs="宋体"/>
                <w:b/>
                <w:bCs/>
                <w:color w:val="auto"/>
                <w:sz w:val="24"/>
                <w:highlight w:val="none"/>
                <w:lang w:val="zh-Hans"/>
              </w:rPr>
              <w:t>注：此处最终报价指经过报价修正后的最终报价。</w:t>
            </w:r>
          </w:p>
        </w:tc>
      </w:tr>
      <w:tr w14:paraId="1873F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vAlign w:val="center"/>
          </w:tcPr>
          <w:p w14:paraId="05047292">
            <w:pPr>
              <w:tabs>
                <w:tab w:val="left" w:pos="426"/>
              </w:tabs>
              <w:autoSpaceDE w:val="0"/>
              <w:autoSpaceDN w:val="0"/>
              <w:adjustRightInd w:val="0"/>
              <w:spacing w:line="460" w:lineRule="exact"/>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二、客观分（</w:t>
            </w:r>
            <w:r>
              <w:rPr>
                <w:rFonts w:hint="eastAsia" w:ascii="宋体" w:hAnsi="宋体" w:cs="宋体"/>
                <w:b/>
                <w:color w:val="auto"/>
                <w:kern w:val="0"/>
                <w:sz w:val="24"/>
                <w:highlight w:val="none"/>
                <w:lang w:val="en-US" w:eastAsia="zh-CN"/>
              </w:rPr>
              <w:t>50</w:t>
            </w:r>
            <w:r>
              <w:rPr>
                <w:rFonts w:hint="eastAsia" w:ascii="宋体" w:hAnsi="宋体" w:cs="宋体"/>
                <w:b/>
                <w:color w:val="auto"/>
                <w:kern w:val="0"/>
                <w:sz w:val="24"/>
                <w:highlight w:val="none"/>
                <w:lang w:eastAsia="en-US"/>
              </w:rPr>
              <w:t>分）</w:t>
            </w:r>
          </w:p>
        </w:tc>
      </w:tr>
      <w:tr w14:paraId="6000F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5C6F37E6">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1</w:t>
            </w:r>
          </w:p>
        </w:tc>
        <w:tc>
          <w:tcPr>
            <w:tcW w:w="663" w:type="pct"/>
            <w:vAlign w:val="center"/>
          </w:tcPr>
          <w:p w14:paraId="211E6585">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业绩</w:t>
            </w:r>
          </w:p>
        </w:tc>
        <w:tc>
          <w:tcPr>
            <w:tcW w:w="358" w:type="pct"/>
            <w:shd w:val="clear" w:color="auto" w:fill="auto"/>
            <w:vAlign w:val="center"/>
          </w:tcPr>
          <w:p w14:paraId="657FCDC1">
            <w:pPr>
              <w:widowControl/>
              <w:tabs>
                <w:tab w:val="left" w:pos="1200"/>
              </w:tabs>
              <w:autoSpaceDE/>
              <w:autoSpaceDN/>
              <w:spacing w:line="4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3667" w:type="pct"/>
            <w:vAlign w:val="center"/>
          </w:tcPr>
          <w:p w14:paraId="11F3DD4E">
            <w:pPr>
              <w:tabs>
                <w:tab w:val="left" w:pos="1200"/>
              </w:tabs>
              <w:autoSpaceDE/>
              <w:autoSpaceDN/>
              <w:spacing w:line="460" w:lineRule="exact"/>
              <w:jc w:val="lef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供应商</w:t>
            </w:r>
            <w:r>
              <w:rPr>
                <w:rFonts w:hint="eastAsia" w:ascii="宋体" w:hAnsi="宋体" w:cs="宋体"/>
                <w:color w:val="auto"/>
                <w:sz w:val="24"/>
                <w:highlight w:val="none"/>
              </w:rPr>
              <w:t>自202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年1月1日以来（以合同签订日期为准）具有类似业绩（业绩内容含食材供货及配送）</w:t>
            </w:r>
            <w:r>
              <w:rPr>
                <w:rFonts w:hint="eastAsia" w:ascii="宋体" w:hAnsi="宋体" w:cs="宋体"/>
                <w:color w:val="auto"/>
                <w:kern w:val="0"/>
                <w:sz w:val="24"/>
                <w:highlight w:val="none"/>
                <w:lang w:eastAsia="en-US"/>
              </w:rPr>
              <w:t>的，每提供一份合同得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en-US"/>
              </w:rPr>
              <w:t>分，最高得</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lang w:eastAsia="en-US"/>
              </w:rPr>
              <w:t>分。</w:t>
            </w:r>
          </w:p>
          <w:p w14:paraId="2B37855A">
            <w:pPr>
              <w:tabs>
                <w:tab w:val="left" w:pos="1200"/>
              </w:tabs>
              <w:autoSpaceDE/>
              <w:autoSpaceDN/>
              <w:spacing w:line="460" w:lineRule="exact"/>
              <w:jc w:val="left"/>
              <w:rPr>
                <w:rFonts w:ascii="宋体" w:hAnsi="宋体" w:cs="宋体"/>
                <w:color w:val="auto"/>
                <w:kern w:val="0"/>
                <w:sz w:val="24"/>
                <w:highlight w:val="none"/>
                <w:lang w:val="zh-CN" w:eastAsia="en-US"/>
              </w:rPr>
            </w:pPr>
            <w:r>
              <w:rPr>
                <w:rFonts w:hint="eastAsia" w:ascii="宋体" w:hAnsi="宋体" w:cs="宋体"/>
                <w:b/>
                <w:bCs/>
                <w:color w:val="auto"/>
                <w:kern w:val="0"/>
                <w:sz w:val="24"/>
                <w:highlight w:val="none"/>
                <w:lang w:eastAsia="en-US"/>
              </w:rPr>
              <w:t>注：同一单位按一份计，</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eastAsia="en-US"/>
              </w:rPr>
              <w:t>中提供合同并加盖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tc>
      </w:tr>
      <w:tr w14:paraId="7B396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1029FD1D">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2</w:t>
            </w:r>
          </w:p>
        </w:tc>
        <w:tc>
          <w:tcPr>
            <w:tcW w:w="663" w:type="pct"/>
            <w:vAlign w:val="center"/>
          </w:tcPr>
          <w:p w14:paraId="1F1A64AF">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体系认证</w:t>
            </w:r>
          </w:p>
        </w:tc>
        <w:tc>
          <w:tcPr>
            <w:tcW w:w="358" w:type="pct"/>
            <w:shd w:val="clear" w:color="auto" w:fill="auto"/>
            <w:vAlign w:val="center"/>
          </w:tcPr>
          <w:p w14:paraId="15E11D85">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val="en-US" w:eastAsia="zh-CN"/>
              </w:rPr>
              <w:t>5</w:t>
            </w:r>
          </w:p>
        </w:tc>
        <w:tc>
          <w:tcPr>
            <w:tcW w:w="3667" w:type="pct"/>
            <w:vAlign w:val="center"/>
          </w:tcPr>
          <w:p w14:paraId="55C64AED">
            <w:pPr>
              <w:tabs>
                <w:tab w:val="left" w:pos="1200"/>
              </w:tabs>
              <w:autoSpaceDE/>
              <w:autoSpaceDN/>
              <w:spacing w:line="460" w:lineRule="exact"/>
              <w:jc w:val="lef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lang w:eastAsia="en-US"/>
              </w:rPr>
              <w:t>具有有效的质量管理体系认证证书、环境管理体系认证证书、职业健康安全管理体系认证证书、食品安全管理体系认证证书、供应链安全管理体系认证证书的，有一个得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en-US"/>
              </w:rPr>
              <w:t>分，最高得</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en-US"/>
              </w:rPr>
              <w:t>分。</w:t>
            </w:r>
          </w:p>
          <w:p w14:paraId="4164DBEB">
            <w:pPr>
              <w:tabs>
                <w:tab w:val="left" w:pos="1200"/>
              </w:tabs>
              <w:autoSpaceDE/>
              <w:autoSpaceDN/>
              <w:spacing w:line="460" w:lineRule="exact"/>
              <w:jc w:val="left"/>
              <w:rPr>
                <w:rFonts w:ascii="宋体" w:hAnsi="宋体" w:cs="宋体"/>
                <w:color w:val="auto"/>
                <w:kern w:val="0"/>
                <w:sz w:val="24"/>
                <w:highlight w:val="none"/>
                <w:lang w:val="zh-CN" w:eastAsia="en-US"/>
              </w:rPr>
            </w:pPr>
            <w:r>
              <w:rPr>
                <w:rFonts w:hint="eastAsia" w:ascii="宋体" w:hAnsi="宋体" w:cs="宋体"/>
                <w:b/>
                <w:bCs/>
                <w:color w:val="auto"/>
                <w:kern w:val="0"/>
                <w:sz w:val="24"/>
                <w:highlight w:val="none"/>
                <w:lang w:eastAsia="en-US"/>
              </w:rPr>
              <w:t>注：</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eastAsia="en-US"/>
              </w:rPr>
              <w:t>中提供认证证书并加盖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tc>
      </w:tr>
      <w:tr w14:paraId="54C8D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Merge w:val="restart"/>
            <w:vAlign w:val="center"/>
          </w:tcPr>
          <w:p w14:paraId="4FD894C2">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3</w:t>
            </w:r>
          </w:p>
        </w:tc>
        <w:tc>
          <w:tcPr>
            <w:tcW w:w="663" w:type="pct"/>
            <w:vMerge w:val="restart"/>
            <w:vAlign w:val="center"/>
          </w:tcPr>
          <w:p w14:paraId="02B22517">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rPr>
              <w:t>机构人员素质及专业配备</w:t>
            </w:r>
          </w:p>
        </w:tc>
        <w:tc>
          <w:tcPr>
            <w:tcW w:w="358" w:type="pct"/>
            <w:shd w:val="clear" w:color="auto" w:fill="auto"/>
            <w:vAlign w:val="center"/>
          </w:tcPr>
          <w:p w14:paraId="5E3552FC">
            <w:pPr>
              <w:widowControl/>
              <w:tabs>
                <w:tab w:val="left" w:pos="1200"/>
              </w:tabs>
              <w:autoSpaceDE/>
              <w:autoSpaceDN/>
              <w:spacing w:line="4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3667" w:type="pct"/>
            <w:vAlign w:val="center"/>
          </w:tcPr>
          <w:p w14:paraId="1255037B">
            <w:pPr>
              <w:autoSpaceDE w:val="0"/>
              <w:autoSpaceDN w:val="0"/>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项目负责人： </w:t>
            </w:r>
          </w:p>
          <w:p w14:paraId="0264C298">
            <w:pPr>
              <w:numPr>
                <w:ilvl w:val="0"/>
                <w:numId w:val="0"/>
              </w:numPr>
              <w:autoSpaceDE w:val="0"/>
              <w:autoSpaceDN w:val="0"/>
              <w:spacing w:line="4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1.项目负责人具有大专及以上学历的得2分。</w:t>
            </w:r>
          </w:p>
          <w:p w14:paraId="0A78F2A0">
            <w:pPr>
              <w:numPr>
                <w:ilvl w:val="0"/>
                <w:numId w:val="0"/>
              </w:numPr>
              <w:autoSpaceDE w:val="0"/>
              <w:autoSpaceDN w:val="0"/>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项目负责人</w:t>
            </w:r>
            <w:r>
              <w:rPr>
                <w:rFonts w:hint="eastAsia" w:ascii="宋体" w:hAnsi="宋体" w:cs="宋体"/>
                <w:color w:val="auto"/>
                <w:sz w:val="24"/>
                <w:highlight w:val="none"/>
                <w:lang w:val="en-US" w:eastAsia="zh-CN"/>
              </w:rPr>
              <w:t>具有国家市场监督管理总局认证认可技术研究中心（CCAI）组织出具的食品安全员证书的得3分。</w:t>
            </w:r>
          </w:p>
          <w:p w14:paraId="40AA6CB5">
            <w:pPr>
              <w:tabs>
                <w:tab w:val="left" w:pos="1200"/>
              </w:tabs>
              <w:autoSpaceDE/>
              <w:autoSpaceDN/>
              <w:spacing w:line="460" w:lineRule="exact"/>
              <w:jc w:val="left"/>
              <w:rPr>
                <w:rFonts w:ascii="宋体" w:hAnsi="宋体" w:cs="宋体"/>
                <w:color w:val="auto"/>
                <w:kern w:val="0"/>
                <w:sz w:val="24"/>
                <w:highlight w:val="none"/>
                <w:lang w:val="zh-CN" w:eastAsia="en-US"/>
              </w:rPr>
            </w:pPr>
            <w:r>
              <w:rPr>
                <w:rFonts w:hint="eastAsia" w:ascii="宋体" w:hAnsi="宋体" w:cs="宋体"/>
                <w:b/>
                <w:bCs/>
                <w:color w:val="auto"/>
                <w:sz w:val="24"/>
                <w:highlight w:val="none"/>
              </w:rPr>
              <w:t>注：</w:t>
            </w:r>
            <w:r>
              <w:rPr>
                <w:rFonts w:hint="eastAsia" w:ascii="宋体" w:hAnsi="宋体" w:cs="宋体"/>
                <w:b/>
                <w:bCs/>
                <w:color w:val="auto"/>
                <w:sz w:val="24"/>
                <w:highlight w:val="none"/>
                <w:lang w:val="en-US" w:eastAsia="zh-CN"/>
              </w:rPr>
              <w:t>磋商响应文件</w:t>
            </w:r>
            <w:r>
              <w:rPr>
                <w:rFonts w:hint="eastAsia" w:ascii="宋体" w:hAnsi="宋体" w:cs="宋体"/>
                <w:b/>
                <w:bCs/>
                <w:color w:val="auto"/>
                <w:sz w:val="24"/>
                <w:highlight w:val="none"/>
              </w:rPr>
              <w:t>中提供</w:t>
            </w:r>
            <w:r>
              <w:rPr>
                <w:rFonts w:hint="eastAsia" w:ascii="宋体" w:hAnsi="宋体" w:cs="宋体"/>
                <w:b/>
                <w:bCs/>
                <w:color w:val="auto"/>
                <w:sz w:val="24"/>
                <w:highlight w:val="none"/>
                <w:lang w:val="en-US" w:eastAsia="zh-CN"/>
              </w:rPr>
              <w:t>相应证书</w:t>
            </w:r>
            <w:r>
              <w:rPr>
                <w:rFonts w:hint="eastAsia" w:ascii="宋体" w:hAnsi="宋体" w:cs="宋体"/>
                <w:b/>
                <w:bCs/>
                <w:color w:val="auto"/>
                <w:sz w:val="24"/>
                <w:highlight w:val="none"/>
              </w:rPr>
              <w:t>及202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月至202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月中任意一个月</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为项目负责人缴纳的社保证明材料并加盖</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公章，否则不得分。</w:t>
            </w:r>
          </w:p>
        </w:tc>
      </w:tr>
      <w:tr w14:paraId="7B8CC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Merge w:val="continue"/>
            <w:vAlign w:val="center"/>
          </w:tcPr>
          <w:p w14:paraId="4B3DF8A5">
            <w:pPr>
              <w:widowControl/>
              <w:tabs>
                <w:tab w:val="left" w:pos="1200"/>
              </w:tabs>
              <w:autoSpaceDE/>
              <w:autoSpaceDN/>
              <w:spacing w:line="460" w:lineRule="exact"/>
              <w:jc w:val="center"/>
              <w:rPr>
                <w:rFonts w:hint="eastAsia" w:ascii="宋体" w:hAnsi="宋体" w:cs="宋体"/>
                <w:color w:val="auto"/>
                <w:sz w:val="24"/>
                <w:highlight w:val="none"/>
                <w:lang w:eastAsia="en-US"/>
              </w:rPr>
            </w:pPr>
          </w:p>
        </w:tc>
        <w:tc>
          <w:tcPr>
            <w:tcW w:w="663" w:type="pct"/>
            <w:vMerge w:val="continue"/>
            <w:vAlign w:val="center"/>
          </w:tcPr>
          <w:p w14:paraId="71D24F84">
            <w:pPr>
              <w:widowControl/>
              <w:tabs>
                <w:tab w:val="left" w:pos="1200"/>
              </w:tabs>
              <w:autoSpaceDE/>
              <w:autoSpaceDN/>
              <w:spacing w:line="460" w:lineRule="exact"/>
              <w:jc w:val="center"/>
              <w:rPr>
                <w:rFonts w:hint="eastAsia" w:ascii="宋体" w:hAnsi="宋体" w:cs="宋体"/>
                <w:color w:val="auto"/>
                <w:sz w:val="24"/>
                <w:highlight w:val="none"/>
              </w:rPr>
            </w:pPr>
          </w:p>
        </w:tc>
        <w:tc>
          <w:tcPr>
            <w:tcW w:w="358" w:type="pct"/>
            <w:shd w:val="clear" w:color="auto" w:fill="auto"/>
            <w:vAlign w:val="center"/>
          </w:tcPr>
          <w:p w14:paraId="33C1B77A">
            <w:pPr>
              <w:widowControl/>
              <w:tabs>
                <w:tab w:val="left" w:pos="1200"/>
              </w:tabs>
              <w:autoSpaceDE/>
              <w:autoSpaceDN/>
              <w:spacing w:line="46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3667" w:type="pct"/>
            <w:vAlign w:val="center"/>
          </w:tcPr>
          <w:p w14:paraId="1F72235F">
            <w:pPr>
              <w:autoSpaceDE w:val="0"/>
              <w:autoSpaceDN w:val="0"/>
              <w:spacing w:line="400" w:lineRule="exact"/>
              <w:rPr>
                <w:rFonts w:ascii="宋体" w:hAnsi="宋体" w:cs="宋体"/>
                <w:color w:val="auto"/>
                <w:sz w:val="24"/>
                <w:highlight w:val="none"/>
              </w:rPr>
            </w:pPr>
            <w:r>
              <w:rPr>
                <w:rFonts w:hint="eastAsia" w:ascii="宋体" w:hAnsi="宋体" w:cs="宋体"/>
                <w:color w:val="auto"/>
                <w:sz w:val="24"/>
                <w:highlight w:val="none"/>
              </w:rPr>
              <w:t>项目组成员（除项目负责人外）：</w:t>
            </w:r>
          </w:p>
          <w:p w14:paraId="1CA9F724">
            <w:pPr>
              <w:autoSpaceDE w:val="0"/>
              <w:autoSpaceDN w:val="0"/>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项目组至少配备</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名具有食品安全管理、检验等相关职业技能证书的人员，满足得</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分，每少1人扣</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分，扣完为止。</w:t>
            </w:r>
          </w:p>
          <w:p w14:paraId="537C6A4C">
            <w:pPr>
              <w:tabs>
                <w:tab w:val="left" w:pos="1200"/>
              </w:tabs>
              <w:autoSpaceDE/>
              <w:autoSpaceDN/>
              <w:spacing w:line="46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lang w:val="en-US" w:eastAsia="zh-CN"/>
              </w:rPr>
              <w:t>磋商响应文件</w:t>
            </w:r>
            <w:r>
              <w:rPr>
                <w:rFonts w:hint="eastAsia" w:ascii="宋体" w:hAnsi="宋体" w:cs="宋体"/>
                <w:b/>
                <w:bCs/>
                <w:color w:val="auto"/>
                <w:sz w:val="24"/>
                <w:highlight w:val="none"/>
              </w:rPr>
              <w:t>中提供</w:t>
            </w:r>
            <w:r>
              <w:rPr>
                <w:rFonts w:hint="eastAsia" w:ascii="宋体" w:hAnsi="宋体" w:cs="宋体"/>
                <w:b/>
                <w:bCs/>
                <w:color w:val="auto"/>
                <w:sz w:val="24"/>
                <w:highlight w:val="none"/>
                <w:lang w:val="en-US" w:eastAsia="zh-CN"/>
              </w:rPr>
              <w:t>相应证书</w:t>
            </w:r>
            <w:r>
              <w:rPr>
                <w:rFonts w:hint="eastAsia" w:ascii="宋体" w:hAnsi="宋体" w:cs="宋体"/>
                <w:b/>
                <w:bCs/>
                <w:color w:val="auto"/>
                <w:sz w:val="24"/>
                <w:highlight w:val="none"/>
              </w:rPr>
              <w:t>及202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月至202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月中任意一个月</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为</w:t>
            </w:r>
            <w:r>
              <w:rPr>
                <w:rFonts w:hint="eastAsia" w:ascii="宋体" w:hAnsi="宋体" w:cs="宋体"/>
                <w:b/>
                <w:bCs/>
                <w:color w:val="auto"/>
                <w:sz w:val="24"/>
                <w:highlight w:val="none"/>
                <w:lang w:val="en-US" w:eastAsia="zh-CN"/>
              </w:rPr>
              <w:t>上述人员</w:t>
            </w:r>
            <w:r>
              <w:rPr>
                <w:rFonts w:hint="eastAsia" w:ascii="宋体" w:hAnsi="宋体" w:cs="宋体"/>
                <w:b/>
                <w:bCs/>
                <w:color w:val="auto"/>
                <w:sz w:val="24"/>
                <w:highlight w:val="none"/>
              </w:rPr>
              <w:t>缴纳的社保证明材料并加盖</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公章，否则不得分。</w:t>
            </w:r>
          </w:p>
        </w:tc>
      </w:tr>
      <w:tr w14:paraId="22DA1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592FBF1C">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4</w:t>
            </w:r>
          </w:p>
        </w:tc>
        <w:tc>
          <w:tcPr>
            <w:tcW w:w="663" w:type="pct"/>
            <w:vAlign w:val="center"/>
          </w:tcPr>
          <w:p w14:paraId="03571953">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配送能力</w:t>
            </w:r>
          </w:p>
        </w:tc>
        <w:tc>
          <w:tcPr>
            <w:tcW w:w="358" w:type="pct"/>
            <w:shd w:val="clear" w:color="auto" w:fill="auto"/>
            <w:vAlign w:val="center"/>
          </w:tcPr>
          <w:p w14:paraId="1AE050E4">
            <w:pPr>
              <w:widowControl/>
              <w:tabs>
                <w:tab w:val="left" w:pos="1200"/>
              </w:tabs>
              <w:autoSpaceDE/>
              <w:autoSpaceDN/>
              <w:spacing w:line="4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3667" w:type="pct"/>
            <w:vAlign w:val="center"/>
          </w:tcPr>
          <w:p w14:paraId="21151E4F">
            <w:pPr>
              <w:tabs>
                <w:tab w:val="left" w:pos="1200"/>
              </w:tabs>
              <w:autoSpaceDE/>
              <w:autoSpaceDN/>
              <w:spacing w:line="460" w:lineRule="exact"/>
              <w:jc w:val="left"/>
              <w:rPr>
                <w:rFonts w:ascii="宋体" w:hAnsi="宋体" w:cs="宋体"/>
                <w:color w:val="auto"/>
                <w:sz w:val="24"/>
                <w:highlight w:val="none"/>
                <w:lang w:eastAsia="en-US"/>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lang w:eastAsia="en-US"/>
              </w:rPr>
              <w:t>为本项目配置的带冷藏功能厢式货车（自有或租赁均可），每提供一辆得</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en-US"/>
              </w:rPr>
              <w:t>分，最高得</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en-US"/>
              </w:rPr>
              <w:t>分。</w:t>
            </w:r>
          </w:p>
          <w:p w14:paraId="757A4389">
            <w:pPr>
              <w:tabs>
                <w:tab w:val="left" w:pos="1200"/>
              </w:tabs>
              <w:autoSpaceDE/>
              <w:autoSpaceDN/>
              <w:spacing w:line="460" w:lineRule="exact"/>
              <w:jc w:val="left"/>
              <w:rPr>
                <w:rFonts w:ascii="宋体" w:hAnsi="宋体" w:cs="宋体"/>
                <w:b/>
                <w:bCs/>
                <w:color w:val="auto"/>
                <w:kern w:val="0"/>
                <w:sz w:val="24"/>
                <w:highlight w:val="none"/>
                <w:lang w:val="zh-CN" w:eastAsia="en-US"/>
              </w:rPr>
            </w:pPr>
            <w:r>
              <w:rPr>
                <w:rFonts w:hint="eastAsia" w:ascii="宋体" w:hAnsi="宋体" w:cs="宋体"/>
                <w:b/>
                <w:bCs/>
                <w:color w:val="auto"/>
                <w:kern w:val="0"/>
                <w:sz w:val="24"/>
                <w:highlight w:val="none"/>
                <w:lang w:val="zh-CN" w:eastAsia="en-US"/>
              </w:rPr>
              <w:t>注：（</w:t>
            </w:r>
            <w:r>
              <w:rPr>
                <w:rFonts w:hint="eastAsia" w:ascii="宋体" w:hAnsi="宋体" w:cs="宋体"/>
                <w:b/>
                <w:bCs/>
                <w:color w:val="auto"/>
                <w:kern w:val="0"/>
                <w:sz w:val="24"/>
                <w:highlight w:val="none"/>
                <w:lang w:eastAsia="en-US"/>
              </w:rPr>
              <w:t>1</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若为自有，</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val="zh-CN" w:eastAsia="en-US"/>
              </w:rPr>
              <w:t>中提供车辆照片或行驶证扫描件（行驶证是供应商名称登记的车辆）”</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p w14:paraId="2213C1A1">
            <w:pPr>
              <w:numPr>
                <w:ilvl w:val="0"/>
                <w:numId w:val="12"/>
              </w:numPr>
              <w:tabs>
                <w:tab w:val="left" w:pos="1200"/>
              </w:tabs>
              <w:autoSpaceDE/>
              <w:autoSpaceDN/>
              <w:spacing w:line="460" w:lineRule="exact"/>
              <w:jc w:val="left"/>
              <w:rPr>
                <w:rFonts w:ascii="宋体" w:hAnsi="宋体" w:cs="宋体"/>
                <w:b/>
                <w:bCs/>
                <w:color w:val="auto"/>
                <w:kern w:val="0"/>
                <w:sz w:val="24"/>
                <w:highlight w:val="none"/>
                <w:lang w:eastAsia="en-US"/>
              </w:rPr>
            </w:pPr>
            <w:r>
              <w:rPr>
                <w:rFonts w:hint="eastAsia" w:ascii="宋体" w:hAnsi="宋体" w:cs="宋体"/>
                <w:b/>
                <w:bCs/>
                <w:color w:val="auto"/>
                <w:kern w:val="0"/>
                <w:sz w:val="24"/>
                <w:highlight w:val="none"/>
                <w:lang w:eastAsia="en-US"/>
              </w:rPr>
              <w:t>若为</w:t>
            </w:r>
            <w:r>
              <w:rPr>
                <w:rFonts w:hint="eastAsia" w:ascii="宋体" w:hAnsi="宋体" w:cs="宋体"/>
                <w:b/>
                <w:bCs/>
                <w:color w:val="auto"/>
                <w:kern w:val="0"/>
                <w:sz w:val="24"/>
                <w:highlight w:val="none"/>
                <w:lang w:val="zh-CN" w:eastAsia="en-US"/>
              </w:rPr>
              <w:t>租赁</w:t>
            </w:r>
            <w:r>
              <w:rPr>
                <w:rFonts w:hint="eastAsia" w:ascii="宋体" w:hAnsi="宋体" w:cs="宋体"/>
                <w:b/>
                <w:bCs/>
                <w:color w:val="auto"/>
                <w:kern w:val="0"/>
                <w:sz w:val="24"/>
                <w:highlight w:val="none"/>
                <w:lang w:eastAsia="en-US"/>
              </w:rPr>
              <w:t>，</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val="zh-CN" w:eastAsia="en-US"/>
              </w:rPr>
              <w:t>中提供车辆照片或行驶证扫描件，及租赁协议（租赁协议中日期需涵盖本项目服务期）</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p w14:paraId="22B7D524">
            <w:pPr>
              <w:tabs>
                <w:tab w:val="left" w:pos="1200"/>
              </w:tabs>
              <w:autoSpaceDE/>
              <w:autoSpaceDN/>
              <w:spacing w:line="460" w:lineRule="exact"/>
              <w:jc w:val="left"/>
              <w:rPr>
                <w:rFonts w:hint="eastAsia" w:ascii="宋体" w:hAnsi="宋体" w:cs="宋体"/>
                <w:b/>
                <w:bCs/>
                <w:color w:val="auto"/>
                <w:sz w:val="24"/>
                <w:highlight w:val="none"/>
                <w:lang w:eastAsia="en-US"/>
              </w:rPr>
            </w:pP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3</w:t>
            </w:r>
            <w:r>
              <w:rPr>
                <w:rFonts w:hint="eastAsia" w:ascii="宋体" w:hAnsi="宋体" w:cs="宋体"/>
                <w:b/>
                <w:bCs/>
                <w:color w:val="auto"/>
                <w:kern w:val="0"/>
                <w:sz w:val="24"/>
                <w:highlight w:val="none"/>
                <w:lang w:val="zh-CN" w:eastAsia="en-US"/>
              </w:rPr>
              <w:t>）</w:t>
            </w:r>
            <w:r>
              <w:rPr>
                <w:rFonts w:hint="eastAsia" w:ascii="宋体" w:hAnsi="宋体" w:cs="宋体"/>
                <w:b/>
                <w:bCs/>
                <w:color w:val="auto"/>
                <w:sz w:val="24"/>
                <w:highlight w:val="none"/>
                <w:lang w:eastAsia="en-US"/>
              </w:rPr>
              <w:t>车辆冷藏功能</w:t>
            </w:r>
            <w:r>
              <w:rPr>
                <w:rFonts w:hint="eastAsia" w:ascii="宋体" w:hAnsi="宋体" w:cs="宋体"/>
                <w:b/>
                <w:bCs/>
                <w:color w:val="auto"/>
                <w:sz w:val="24"/>
                <w:highlight w:val="none"/>
                <w:lang w:eastAsia="en-US"/>
              </w:rPr>
              <w:t>以</w:t>
            </w:r>
            <w:r>
              <w:rPr>
                <w:rFonts w:hint="eastAsia" w:ascii="宋体" w:hAnsi="宋体" w:cs="宋体"/>
                <w:b/>
                <w:bCs/>
                <w:color w:val="auto"/>
                <w:sz w:val="24"/>
                <w:highlight w:val="none"/>
                <w:lang w:val="en-US" w:eastAsia="zh-CN"/>
              </w:rPr>
              <w:t>提供</w:t>
            </w:r>
            <w:r>
              <w:rPr>
                <w:rFonts w:hint="eastAsia" w:ascii="宋体" w:hAnsi="宋体" w:cs="宋体"/>
                <w:b/>
                <w:bCs/>
                <w:color w:val="auto"/>
                <w:sz w:val="24"/>
                <w:highlight w:val="none"/>
                <w:lang w:eastAsia="en-US"/>
              </w:rPr>
              <w:t>工业和信息化部装备工业发展</w:t>
            </w:r>
          </w:p>
          <w:p w14:paraId="08FF3D38">
            <w:pPr>
              <w:tabs>
                <w:tab w:val="left" w:pos="1200"/>
              </w:tabs>
              <w:autoSpaceDE/>
              <w:autoSpaceDN/>
              <w:spacing w:line="460" w:lineRule="exact"/>
              <w:jc w:val="left"/>
              <w:rPr>
                <w:rFonts w:hint="eastAsia" w:ascii="宋体" w:hAnsi="宋体" w:cs="宋体"/>
                <w:b/>
                <w:bCs/>
                <w:color w:val="auto"/>
                <w:sz w:val="24"/>
                <w:highlight w:val="none"/>
                <w:lang w:eastAsia="en-US"/>
              </w:rPr>
            </w:pPr>
            <w:r>
              <w:rPr>
                <w:rFonts w:hint="eastAsia" w:ascii="宋体" w:hAnsi="宋体" w:cs="宋体"/>
                <w:b/>
                <w:bCs/>
                <w:color w:val="auto"/>
                <w:sz w:val="24"/>
                <w:highlight w:val="none"/>
                <w:lang w:eastAsia="en-US"/>
              </w:rPr>
              <w:t>中心-道路机动车辆生产企业及产品信息综合查询系统查询</w:t>
            </w:r>
          </w:p>
          <w:p w14:paraId="552F8712">
            <w:pPr>
              <w:tabs>
                <w:tab w:val="left" w:pos="1200"/>
              </w:tabs>
              <w:autoSpaceDE/>
              <w:autoSpaceDN/>
              <w:spacing w:line="460" w:lineRule="exact"/>
              <w:jc w:val="left"/>
              <w:rPr>
                <w:rFonts w:ascii="宋体" w:hAnsi="宋体" w:cs="宋体"/>
                <w:b/>
                <w:bCs/>
                <w:color w:val="auto"/>
                <w:kern w:val="0"/>
                <w:sz w:val="24"/>
                <w:highlight w:val="none"/>
                <w:lang w:eastAsia="en-US"/>
              </w:rPr>
            </w:pPr>
            <w:r>
              <w:rPr>
                <w:rFonts w:hint="eastAsia" w:ascii="宋体" w:hAnsi="宋体" w:cs="宋体"/>
                <w:b/>
                <w:bCs/>
                <w:color w:val="auto"/>
                <w:sz w:val="24"/>
                <w:highlight w:val="none"/>
                <w:lang w:eastAsia="en-US"/>
              </w:rPr>
              <w:t>截图</w:t>
            </w:r>
            <w:r>
              <w:rPr>
                <w:rFonts w:hint="eastAsia" w:ascii="宋体" w:hAnsi="宋体" w:cs="宋体"/>
                <w:b/>
                <w:bCs/>
                <w:color w:val="auto"/>
                <w:sz w:val="24"/>
                <w:highlight w:val="none"/>
                <w:lang w:val="en-US" w:eastAsia="zh-CN"/>
              </w:rPr>
              <w:t>证明（https://service.miit-eidc.org.cn/miitxxgk/gonggao_xxgk/index_ggcp.html）并加盖供应商公章</w:t>
            </w:r>
            <w:r>
              <w:rPr>
                <w:rFonts w:hint="eastAsia" w:ascii="宋体" w:hAnsi="宋体" w:cs="宋体"/>
                <w:b/>
                <w:bCs/>
                <w:color w:val="auto"/>
                <w:sz w:val="24"/>
                <w:highlight w:val="none"/>
                <w:lang w:eastAsia="en-US"/>
              </w:rPr>
              <w:t>。</w:t>
            </w:r>
          </w:p>
        </w:tc>
      </w:tr>
      <w:tr w14:paraId="2DBAC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7DF636BA">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5</w:t>
            </w:r>
          </w:p>
        </w:tc>
        <w:tc>
          <w:tcPr>
            <w:tcW w:w="663" w:type="pct"/>
            <w:vAlign w:val="center"/>
          </w:tcPr>
          <w:p w14:paraId="5CAC62A0">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仓储场地</w:t>
            </w:r>
          </w:p>
        </w:tc>
        <w:tc>
          <w:tcPr>
            <w:tcW w:w="358" w:type="pct"/>
            <w:shd w:val="clear" w:color="auto" w:fill="auto"/>
            <w:vAlign w:val="center"/>
          </w:tcPr>
          <w:p w14:paraId="78F18D51">
            <w:pPr>
              <w:widowControl/>
              <w:tabs>
                <w:tab w:val="left" w:pos="1200"/>
              </w:tabs>
              <w:autoSpaceDE/>
              <w:autoSpaceDN/>
              <w:spacing w:line="4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3667" w:type="pct"/>
            <w:vAlign w:val="center"/>
          </w:tcPr>
          <w:p w14:paraId="2BF9F502">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lang w:eastAsia="en-US"/>
              </w:rPr>
              <w:t>为本项目配置的仓储场地（自有或租赁均可）：</w:t>
            </w:r>
          </w:p>
          <w:p w14:paraId="4908E041">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（1）场地面积≥</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en-US"/>
              </w:rPr>
              <w:t xml:space="preserve">000平方米的，得1分； </w:t>
            </w:r>
          </w:p>
          <w:p w14:paraId="4DE48781">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（2）场地面积≥</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en-US"/>
              </w:rPr>
              <w:t>000平方米的，得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en-US"/>
              </w:rPr>
              <w:t>分；</w:t>
            </w:r>
          </w:p>
          <w:p w14:paraId="05F905A7">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（3）场地面积≥</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en-US"/>
              </w:rPr>
              <w:t>000平方米的，得</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en-US"/>
              </w:rPr>
              <w:t>分。</w:t>
            </w:r>
          </w:p>
          <w:p w14:paraId="3079F5E5">
            <w:pPr>
              <w:autoSpaceDE w:val="0"/>
              <w:autoSpaceDN w:val="0"/>
              <w:spacing w:line="400" w:lineRule="exact"/>
              <w:rPr>
                <w:rFonts w:ascii="宋体" w:hAnsi="宋体" w:cs="宋体"/>
                <w:b/>
                <w:bCs/>
                <w:color w:val="auto"/>
                <w:sz w:val="24"/>
                <w:highlight w:val="none"/>
                <w:lang w:eastAsia="en-US"/>
              </w:rPr>
            </w:pPr>
            <w:r>
              <w:rPr>
                <w:rFonts w:hint="eastAsia" w:ascii="宋体" w:hAnsi="宋体" w:cs="宋体"/>
                <w:b/>
                <w:bCs/>
                <w:color w:val="auto"/>
                <w:sz w:val="24"/>
                <w:highlight w:val="none"/>
                <w:lang w:eastAsia="en-US"/>
              </w:rPr>
              <w:t>注：</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1</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若为自有，</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eastAsia="en-US"/>
              </w:rPr>
              <w:t>中提供</w:t>
            </w:r>
            <w:r>
              <w:rPr>
                <w:rFonts w:hint="eastAsia" w:ascii="宋体" w:hAnsi="宋体" w:cs="宋体"/>
                <w:b/>
                <w:bCs/>
                <w:color w:val="auto"/>
                <w:sz w:val="24"/>
                <w:highlight w:val="none"/>
                <w:lang w:eastAsia="en-US"/>
              </w:rPr>
              <w:t>房产证扫描件（房产证登记名称与</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lang w:eastAsia="en-US"/>
              </w:rPr>
              <w:t>名称必须一致）及现场照片</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p w14:paraId="60C8F004">
            <w:pPr>
              <w:autoSpaceDE w:val="0"/>
              <w:autoSpaceDN w:val="0"/>
              <w:spacing w:line="400" w:lineRule="exact"/>
              <w:rPr>
                <w:rFonts w:ascii="宋体" w:hAnsi="宋体" w:cs="宋体"/>
                <w:color w:val="auto"/>
                <w:kern w:val="0"/>
                <w:sz w:val="24"/>
                <w:highlight w:val="none"/>
                <w:lang w:val="zh-CN" w:eastAsia="en-US"/>
              </w:rPr>
            </w:pP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2</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若为</w:t>
            </w:r>
            <w:r>
              <w:rPr>
                <w:rFonts w:hint="eastAsia" w:ascii="宋体" w:hAnsi="宋体" w:cs="宋体"/>
                <w:b/>
                <w:bCs/>
                <w:color w:val="auto"/>
                <w:kern w:val="0"/>
                <w:sz w:val="24"/>
                <w:highlight w:val="none"/>
                <w:lang w:val="zh-CN" w:eastAsia="en-US"/>
              </w:rPr>
              <w:t>租赁</w:t>
            </w:r>
            <w:r>
              <w:rPr>
                <w:rFonts w:hint="eastAsia" w:ascii="宋体" w:hAnsi="宋体" w:cs="宋体"/>
                <w:b/>
                <w:bCs/>
                <w:color w:val="auto"/>
                <w:kern w:val="0"/>
                <w:sz w:val="24"/>
                <w:highlight w:val="none"/>
                <w:lang w:eastAsia="en-US"/>
              </w:rPr>
              <w:t>，</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val="zh-CN" w:eastAsia="en-US"/>
              </w:rPr>
              <w:t>中提供</w:t>
            </w:r>
            <w:r>
              <w:rPr>
                <w:rFonts w:hint="eastAsia" w:ascii="宋体" w:hAnsi="宋体" w:cs="宋体"/>
                <w:b/>
                <w:bCs/>
                <w:color w:val="auto"/>
                <w:sz w:val="24"/>
                <w:highlight w:val="none"/>
                <w:lang w:eastAsia="en-US"/>
              </w:rPr>
              <w:t>租赁协议（租赁协议中日期需涵盖本项目服务期）及现场照片</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tc>
      </w:tr>
      <w:tr w14:paraId="4C257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1F22213E">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6</w:t>
            </w:r>
          </w:p>
        </w:tc>
        <w:tc>
          <w:tcPr>
            <w:tcW w:w="663" w:type="pct"/>
            <w:vAlign w:val="center"/>
          </w:tcPr>
          <w:p w14:paraId="4507E690">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冷库（含冷藏）场所</w:t>
            </w:r>
          </w:p>
        </w:tc>
        <w:tc>
          <w:tcPr>
            <w:tcW w:w="358" w:type="pct"/>
            <w:shd w:val="clear" w:color="auto" w:fill="auto"/>
            <w:vAlign w:val="center"/>
          </w:tcPr>
          <w:p w14:paraId="132528E6">
            <w:pPr>
              <w:widowControl/>
              <w:tabs>
                <w:tab w:val="left" w:pos="1200"/>
              </w:tabs>
              <w:autoSpaceDE/>
              <w:autoSpaceDN/>
              <w:spacing w:line="4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3667" w:type="pct"/>
            <w:vAlign w:val="center"/>
          </w:tcPr>
          <w:p w14:paraId="4D55B09D">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lang w:eastAsia="en-US"/>
              </w:rPr>
              <w:t>为本项目配置的冷库（含冷藏）场所（自有或租赁均可）：</w:t>
            </w:r>
          </w:p>
          <w:p w14:paraId="16A34A81">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（1）场所面积≥</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en-US"/>
              </w:rPr>
              <w:t xml:space="preserve">00平方米的，得1分； </w:t>
            </w:r>
          </w:p>
          <w:p w14:paraId="201F798E">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（2）场所面积≥</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en-US"/>
              </w:rPr>
              <w:t>00平方米的，得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en-US"/>
              </w:rPr>
              <w:t xml:space="preserve">分； </w:t>
            </w:r>
          </w:p>
          <w:p w14:paraId="6B6B9522">
            <w:pPr>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（3）场所面积≥</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en-US"/>
              </w:rPr>
              <w:t>00平方米的，得</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en-US"/>
              </w:rPr>
              <w:t xml:space="preserve">分。 </w:t>
            </w:r>
          </w:p>
          <w:p w14:paraId="5FCE88CE">
            <w:pPr>
              <w:autoSpaceDE w:val="0"/>
              <w:autoSpaceDN w:val="0"/>
              <w:spacing w:line="400" w:lineRule="exact"/>
              <w:rPr>
                <w:rFonts w:ascii="宋体" w:hAnsi="宋体" w:cs="宋体"/>
                <w:b/>
                <w:bCs/>
                <w:color w:val="auto"/>
                <w:sz w:val="24"/>
                <w:highlight w:val="none"/>
                <w:lang w:eastAsia="en-US"/>
              </w:rPr>
            </w:pPr>
            <w:r>
              <w:rPr>
                <w:rFonts w:hint="eastAsia" w:ascii="宋体" w:hAnsi="宋体" w:cs="宋体"/>
                <w:b/>
                <w:bCs/>
                <w:color w:val="auto"/>
                <w:sz w:val="24"/>
                <w:highlight w:val="none"/>
                <w:lang w:eastAsia="en-US"/>
              </w:rPr>
              <w:t>注：</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1</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若为自有，</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eastAsia="en-US"/>
              </w:rPr>
              <w:t>中提供房产证</w:t>
            </w:r>
            <w:r>
              <w:rPr>
                <w:rFonts w:hint="eastAsia" w:ascii="宋体" w:hAnsi="宋体" w:cs="宋体"/>
                <w:b/>
                <w:bCs/>
                <w:color w:val="auto"/>
                <w:sz w:val="24"/>
                <w:highlight w:val="none"/>
                <w:lang w:eastAsia="en-US"/>
              </w:rPr>
              <w:t>扫描件</w:t>
            </w:r>
            <w:r>
              <w:rPr>
                <w:rFonts w:hint="eastAsia" w:ascii="宋体" w:hAnsi="宋体" w:cs="宋体"/>
                <w:b/>
                <w:bCs/>
                <w:color w:val="auto"/>
                <w:kern w:val="0"/>
                <w:sz w:val="24"/>
                <w:highlight w:val="none"/>
                <w:lang w:eastAsia="en-US"/>
              </w:rPr>
              <w:t>（</w:t>
            </w:r>
            <w:r>
              <w:rPr>
                <w:rFonts w:hint="eastAsia" w:ascii="宋体" w:hAnsi="宋体" w:cs="宋体"/>
                <w:b/>
                <w:bCs/>
                <w:color w:val="auto"/>
                <w:sz w:val="24"/>
                <w:highlight w:val="none"/>
                <w:lang w:eastAsia="en-US"/>
              </w:rPr>
              <w:t>房产证登记名称与</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lang w:eastAsia="en-US"/>
              </w:rPr>
              <w:t>名称必须一致）及现场照片</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p w14:paraId="3D42CF3C">
            <w:pPr>
              <w:tabs>
                <w:tab w:val="left" w:pos="1200"/>
              </w:tabs>
              <w:autoSpaceDE/>
              <w:autoSpaceDN/>
              <w:spacing w:line="460" w:lineRule="exact"/>
              <w:jc w:val="left"/>
              <w:rPr>
                <w:rFonts w:ascii="宋体" w:hAnsi="宋体" w:cs="宋体"/>
                <w:color w:val="auto"/>
                <w:kern w:val="0"/>
                <w:sz w:val="24"/>
                <w:highlight w:val="none"/>
                <w:lang w:val="zh-CN" w:eastAsia="en-US"/>
              </w:rPr>
            </w:pP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2</w:t>
            </w:r>
            <w:r>
              <w:rPr>
                <w:rFonts w:hint="eastAsia" w:ascii="宋体" w:hAnsi="宋体" w:cs="宋体"/>
                <w:b/>
                <w:bCs/>
                <w:color w:val="auto"/>
                <w:kern w:val="0"/>
                <w:sz w:val="24"/>
                <w:highlight w:val="none"/>
                <w:lang w:val="zh-CN" w:eastAsia="en-US"/>
              </w:rPr>
              <w:t>）</w:t>
            </w:r>
            <w:r>
              <w:rPr>
                <w:rFonts w:hint="eastAsia" w:ascii="宋体" w:hAnsi="宋体" w:cs="宋体"/>
                <w:b/>
                <w:bCs/>
                <w:color w:val="auto"/>
                <w:kern w:val="0"/>
                <w:sz w:val="24"/>
                <w:highlight w:val="none"/>
                <w:lang w:eastAsia="en-US"/>
              </w:rPr>
              <w:t>若为</w:t>
            </w:r>
            <w:r>
              <w:rPr>
                <w:rFonts w:hint="eastAsia" w:ascii="宋体" w:hAnsi="宋体" w:cs="宋体"/>
                <w:b/>
                <w:bCs/>
                <w:color w:val="auto"/>
                <w:kern w:val="0"/>
                <w:sz w:val="24"/>
                <w:highlight w:val="none"/>
                <w:lang w:val="zh-CN" w:eastAsia="en-US"/>
              </w:rPr>
              <w:t>租赁</w:t>
            </w:r>
            <w:r>
              <w:rPr>
                <w:rFonts w:hint="eastAsia" w:ascii="宋体" w:hAnsi="宋体" w:cs="宋体"/>
                <w:b/>
                <w:bCs/>
                <w:color w:val="auto"/>
                <w:kern w:val="0"/>
                <w:sz w:val="24"/>
                <w:highlight w:val="none"/>
                <w:lang w:eastAsia="en-US"/>
              </w:rPr>
              <w:t>，</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val="zh-CN" w:eastAsia="en-US"/>
              </w:rPr>
              <w:t>中提供</w:t>
            </w:r>
            <w:r>
              <w:rPr>
                <w:rFonts w:hint="eastAsia" w:ascii="宋体" w:hAnsi="宋体" w:cs="宋体"/>
                <w:b/>
                <w:bCs/>
                <w:color w:val="auto"/>
                <w:sz w:val="24"/>
                <w:highlight w:val="none"/>
                <w:lang w:eastAsia="en-US"/>
              </w:rPr>
              <w:t>租赁协议（租赁协议中日期需涵盖本项目服务期）及现场照片</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tc>
      </w:tr>
      <w:tr w14:paraId="49C95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2762100F">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7</w:t>
            </w:r>
          </w:p>
        </w:tc>
        <w:tc>
          <w:tcPr>
            <w:tcW w:w="663" w:type="pct"/>
            <w:vAlign w:val="center"/>
          </w:tcPr>
          <w:p w14:paraId="1BDD36BE">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检测设备或仪器</w:t>
            </w:r>
          </w:p>
        </w:tc>
        <w:tc>
          <w:tcPr>
            <w:tcW w:w="358" w:type="pct"/>
            <w:shd w:val="clear" w:color="auto" w:fill="auto"/>
            <w:vAlign w:val="center"/>
          </w:tcPr>
          <w:p w14:paraId="65EDE693">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2</w:t>
            </w:r>
          </w:p>
        </w:tc>
        <w:tc>
          <w:tcPr>
            <w:tcW w:w="3667" w:type="pct"/>
            <w:vAlign w:val="center"/>
          </w:tcPr>
          <w:p w14:paraId="4FBB33EC">
            <w:pPr>
              <w:tabs>
                <w:tab w:val="left" w:pos="1200"/>
              </w:tabs>
              <w:autoSpaceDE/>
              <w:autoSpaceDN/>
              <w:spacing w:line="460" w:lineRule="exact"/>
              <w:jc w:val="left"/>
              <w:rPr>
                <w:rFonts w:ascii="宋体" w:hAnsi="宋体" w:cs="宋体"/>
                <w:color w:val="auto"/>
                <w:kern w:val="0"/>
                <w:sz w:val="24"/>
                <w:highlight w:val="none"/>
                <w:lang w:val="zh-CN" w:eastAsia="en-US"/>
              </w:rPr>
            </w:pPr>
            <w:r>
              <w:rPr>
                <w:rFonts w:hint="eastAsia" w:ascii="宋体" w:hAnsi="宋体" w:cs="宋体"/>
                <w:color w:val="auto"/>
                <w:kern w:val="0"/>
                <w:sz w:val="24"/>
                <w:highlight w:val="none"/>
                <w:lang w:val="zh-CN" w:eastAsia="en-US"/>
              </w:rPr>
              <w:t>供应商自有</w:t>
            </w:r>
            <w:r>
              <w:rPr>
                <w:rFonts w:hint="eastAsia" w:ascii="宋体" w:hAnsi="宋体" w:cs="宋体"/>
                <w:color w:val="auto"/>
                <w:kern w:val="0"/>
                <w:sz w:val="24"/>
                <w:highlight w:val="none"/>
                <w:lang w:eastAsia="en-US"/>
              </w:rPr>
              <w:t>或租赁</w:t>
            </w:r>
            <w:r>
              <w:rPr>
                <w:rFonts w:hint="eastAsia" w:ascii="宋体" w:hAnsi="宋体" w:cs="宋体"/>
                <w:color w:val="auto"/>
                <w:kern w:val="0"/>
                <w:sz w:val="24"/>
                <w:highlight w:val="none"/>
                <w:lang w:val="zh-CN" w:eastAsia="en-US"/>
              </w:rPr>
              <w:t>的</w:t>
            </w:r>
            <w:r>
              <w:rPr>
                <w:rFonts w:hint="eastAsia" w:ascii="宋体" w:hAnsi="宋体" w:cs="宋体"/>
                <w:color w:val="auto"/>
                <w:kern w:val="0"/>
                <w:sz w:val="24"/>
                <w:highlight w:val="none"/>
                <w:lang w:eastAsia="en-US"/>
              </w:rPr>
              <w:t>与</w:t>
            </w:r>
            <w:r>
              <w:rPr>
                <w:rFonts w:hint="eastAsia" w:ascii="宋体" w:hAnsi="宋体" w:cs="宋体"/>
                <w:color w:val="auto"/>
                <w:kern w:val="0"/>
                <w:sz w:val="24"/>
                <w:highlight w:val="none"/>
                <w:lang w:val="zh-CN" w:eastAsia="en-US"/>
              </w:rPr>
              <w:t>食品相关检测设备或仪器（包括但不限于农药残留检测仪、肉类水分检测仪、重金属检测仪等与本项目相关的食品检测设备或仪器）的，每提供一种设备或仪器的得</w:t>
            </w:r>
            <w:r>
              <w:rPr>
                <w:rFonts w:hint="eastAsia" w:ascii="宋体" w:hAnsi="宋体" w:cs="宋体"/>
                <w:color w:val="auto"/>
                <w:kern w:val="0"/>
                <w:sz w:val="24"/>
                <w:highlight w:val="none"/>
                <w:lang w:eastAsia="en-US"/>
              </w:rPr>
              <w:t>1分</w:t>
            </w:r>
            <w:r>
              <w:rPr>
                <w:rFonts w:hint="eastAsia" w:ascii="宋体" w:hAnsi="宋体" w:cs="宋体"/>
                <w:color w:val="auto"/>
                <w:kern w:val="0"/>
                <w:sz w:val="24"/>
                <w:highlight w:val="none"/>
                <w:lang w:val="zh-CN" w:eastAsia="en-US"/>
              </w:rPr>
              <w:t>，</w:t>
            </w:r>
            <w:r>
              <w:rPr>
                <w:rFonts w:hint="eastAsia" w:ascii="宋体" w:hAnsi="宋体" w:cs="宋体"/>
                <w:color w:val="auto"/>
                <w:kern w:val="0"/>
                <w:sz w:val="24"/>
                <w:highlight w:val="none"/>
                <w:lang w:eastAsia="en-US"/>
              </w:rPr>
              <w:t>最高得2分。</w:t>
            </w:r>
            <w:r>
              <w:rPr>
                <w:rFonts w:hint="eastAsia" w:ascii="宋体" w:hAnsi="宋体" w:cs="宋体"/>
                <w:color w:val="auto"/>
                <w:kern w:val="0"/>
                <w:sz w:val="24"/>
                <w:highlight w:val="none"/>
                <w:lang w:val="zh-CN" w:eastAsia="en-US"/>
              </w:rPr>
              <w:t>同一种设备或仪器只计一次。</w:t>
            </w:r>
          </w:p>
          <w:p w14:paraId="0EDEA895">
            <w:pPr>
              <w:tabs>
                <w:tab w:val="left" w:pos="1200"/>
              </w:tabs>
              <w:autoSpaceDE/>
              <w:autoSpaceDN/>
              <w:spacing w:line="460" w:lineRule="exact"/>
              <w:jc w:val="left"/>
              <w:rPr>
                <w:rFonts w:ascii="宋体" w:hAnsi="宋体" w:cs="宋体"/>
                <w:b/>
                <w:bCs/>
                <w:color w:val="auto"/>
                <w:kern w:val="0"/>
                <w:sz w:val="24"/>
                <w:highlight w:val="none"/>
                <w:lang w:eastAsia="en-US"/>
              </w:rPr>
            </w:pPr>
            <w:r>
              <w:rPr>
                <w:rFonts w:hint="eastAsia" w:ascii="宋体" w:hAnsi="宋体" w:cs="宋体"/>
                <w:b/>
                <w:bCs/>
                <w:color w:val="auto"/>
                <w:kern w:val="0"/>
                <w:sz w:val="24"/>
                <w:highlight w:val="none"/>
                <w:lang w:eastAsia="en-US"/>
              </w:rPr>
              <w:t>注：（1）若为自有，</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eastAsia="en-US"/>
              </w:rPr>
              <w:t>中提供检测设备或仪器的</w:t>
            </w:r>
            <w:r>
              <w:rPr>
                <w:rFonts w:hint="eastAsia" w:ascii="宋体" w:hAnsi="宋体" w:cs="宋体"/>
                <w:b/>
                <w:bCs/>
                <w:color w:val="auto"/>
                <w:kern w:val="0"/>
                <w:sz w:val="24"/>
                <w:highlight w:val="none"/>
                <w:lang w:val="zh-CN" w:eastAsia="en-US"/>
              </w:rPr>
              <w:t>清单</w:t>
            </w:r>
            <w:r>
              <w:rPr>
                <w:rFonts w:hint="eastAsia" w:ascii="宋体" w:hAnsi="宋体" w:cs="宋体"/>
                <w:b/>
                <w:bCs/>
                <w:color w:val="auto"/>
                <w:kern w:val="0"/>
                <w:sz w:val="24"/>
                <w:highlight w:val="none"/>
                <w:lang w:eastAsia="en-US"/>
              </w:rPr>
              <w:t>和</w:t>
            </w:r>
            <w:r>
              <w:rPr>
                <w:rFonts w:hint="eastAsia" w:ascii="宋体" w:hAnsi="宋体" w:cs="宋体"/>
                <w:b/>
                <w:bCs/>
                <w:color w:val="auto"/>
                <w:kern w:val="0"/>
                <w:sz w:val="24"/>
                <w:highlight w:val="none"/>
                <w:lang w:val="zh-CN" w:eastAsia="en-US"/>
              </w:rPr>
              <w:t>发票</w:t>
            </w:r>
            <w:r>
              <w:rPr>
                <w:rFonts w:hint="eastAsia" w:ascii="宋体" w:hAnsi="宋体" w:cs="宋体"/>
                <w:b/>
                <w:bCs/>
                <w:color w:val="auto"/>
                <w:kern w:val="0"/>
                <w:sz w:val="24"/>
                <w:highlight w:val="none"/>
                <w:lang w:eastAsia="en-US"/>
              </w:rPr>
              <w:t>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p w14:paraId="2DDF3520">
            <w:pPr>
              <w:tabs>
                <w:tab w:val="left" w:pos="1200"/>
              </w:tabs>
              <w:autoSpaceDE/>
              <w:autoSpaceDN/>
              <w:spacing w:line="460" w:lineRule="exact"/>
              <w:jc w:val="left"/>
              <w:rPr>
                <w:rFonts w:ascii="宋体" w:hAnsi="宋体" w:cs="宋体"/>
                <w:b/>
                <w:bCs/>
                <w:color w:val="auto"/>
                <w:kern w:val="0"/>
                <w:sz w:val="24"/>
                <w:highlight w:val="none"/>
                <w:lang w:val="zh-CN" w:eastAsia="en-US"/>
              </w:rPr>
            </w:pPr>
            <w:r>
              <w:rPr>
                <w:rFonts w:hint="eastAsia" w:ascii="宋体" w:hAnsi="宋体" w:cs="宋体"/>
                <w:b/>
                <w:bCs/>
                <w:color w:val="auto"/>
                <w:kern w:val="0"/>
                <w:sz w:val="24"/>
                <w:highlight w:val="none"/>
                <w:lang w:eastAsia="en-US"/>
              </w:rPr>
              <w:t>（2）若为租赁，</w:t>
            </w:r>
            <w:r>
              <w:rPr>
                <w:rFonts w:hint="eastAsia" w:ascii="宋体" w:hAnsi="宋体" w:cs="宋体"/>
                <w:b/>
                <w:bCs/>
                <w:color w:val="auto"/>
                <w:kern w:val="0"/>
                <w:sz w:val="24"/>
                <w:highlight w:val="none"/>
                <w:lang w:eastAsia="zh-CN"/>
              </w:rPr>
              <w:t>磋商响应文件</w:t>
            </w:r>
            <w:r>
              <w:rPr>
                <w:rFonts w:hint="eastAsia" w:ascii="宋体" w:hAnsi="宋体" w:cs="宋体"/>
                <w:b/>
                <w:bCs/>
                <w:color w:val="auto"/>
                <w:kern w:val="0"/>
                <w:sz w:val="24"/>
                <w:highlight w:val="none"/>
                <w:lang w:eastAsia="en-US"/>
              </w:rPr>
              <w:t>中提供检测设备或仪器的</w:t>
            </w:r>
            <w:r>
              <w:rPr>
                <w:rFonts w:hint="eastAsia" w:ascii="宋体" w:hAnsi="宋体" w:cs="宋体"/>
                <w:b/>
                <w:bCs/>
                <w:color w:val="auto"/>
                <w:kern w:val="0"/>
                <w:sz w:val="24"/>
                <w:highlight w:val="none"/>
                <w:lang w:val="zh-CN" w:eastAsia="en-US"/>
              </w:rPr>
              <w:t>清单</w:t>
            </w:r>
            <w:r>
              <w:rPr>
                <w:rFonts w:hint="eastAsia" w:ascii="宋体" w:hAnsi="宋体" w:cs="宋体"/>
                <w:b/>
                <w:bCs/>
                <w:color w:val="auto"/>
                <w:kern w:val="0"/>
                <w:sz w:val="24"/>
                <w:highlight w:val="none"/>
                <w:lang w:eastAsia="en-US"/>
              </w:rPr>
              <w:t>及发票及租赁协议并加盖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lang w:eastAsia="en-US"/>
              </w:rPr>
              <w:t>公章，否则不得分。</w:t>
            </w:r>
          </w:p>
        </w:tc>
      </w:tr>
      <w:tr w14:paraId="621D6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vAlign w:val="center"/>
          </w:tcPr>
          <w:p w14:paraId="41F47FA7">
            <w:pPr>
              <w:tabs>
                <w:tab w:val="left" w:pos="426"/>
              </w:tabs>
              <w:autoSpaceDE w:val="0"/>
              <w:autoSpaceDN w:val="0"/>
              <w:adjustRightInd w:val="0"/>
              <w:spacing w:line="460" w:lineRule="exact"/>
              <w:rPr>
                <w:rFonts w:ascii="宋体" w:hAnsi="宋体" w:cs="宋体"/>
                <w:b/>
                <w:color w:val="auto"/>
                <w:kern w:val="0"/>
                <w:sz w:val="24"/>
                <w:highlight w:val="none"/>
                <w:lang w:eastAsia="en-US"/>
              </w:rPr>
            </w:pPr>
            <w:r>
              <w:rPr>
                <w:rFonts w:hint="eastAsia" w:ascii="宋体" w:hAnsi="宋体" w:cs="宋体"/>
                <w:b/>
                <w:color w:val="auto"/>
                <w:kern w:val="0"/>
                <w:sz w:val="24"/>
                <w:highlight w:val="none"/>
                <w:lang w:eastAsia="en-US"/>
              </w:rPr>
              <w:t>三、主观分（</w:t>
            </w:r>
            <w:r>
              <w:rPr>
                <w:rFonts w:hint="eastAsia" w:ascii="宋体" w:hAnsi="宋体" w:cs="宋体"/>
                <w:b/>
                <w:color w:val="auto"/>
                <w:kern w:val="0"/>
                <w:sz w:val="24"/>
                <w:highlight w:val="none"/>
                <w:lang w:val="en-US" w:eastAsia="zh-CN"/>
              </w:rPr>
              <w:t>40</w:t>
            </w:r>
            <w:r>
              <w:rPr>
                <w:rFonts w:hint="eastAsia" w:ascii="宋体" w:hAnsi="宋体" w:cs="宋体"/>
                <w:b/>
                <w:color w:val="auto"/>
                <w:kern w:val="0"/>
                <w:sz w:val="24"/>
                <w:highlight w:val="none"/>
                <w:lang w:eastAsia="en-US"/>
              </w:rPr>
              <w:t>分）</w:t>
            </w:r>
          </w:p>
        </w:tc>
      </w:tr>
      <w:tr w14:paraId="4C19B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53A5AFDB">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1</w:t>
            </w:r>
          </w:p>
        </w:tc>
        <w:tc>
          <w:tcPr>
            <w:tcW w:w="663" w:type="pct"/>
            <w:vAlign w:val="center"/>
          </w:tcPr>
          <w:p w14:paraId="5C4238CB">
            <w:pPr>
              <w:tabs>
                <w:tab w:val="left" w:pos="426"/>
              </w:tabs>
              <w:autoSpaceDE w:val="0"/>
              <w:autoSpaceDN w:val="0"/>
              <w:spacing w:line="40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拟投入场地设施</w:t>
            </w:r>
          </w:p>
        </w:tc>
        <w:tc>
          <w:tcPr>
            <w:tcW w:w="358" w:type="pct"/>
            <w:shd w:val="clear" w:color="auto" w:fill="auto"/>
            <w:vAlign w:val="center"/>
          </w:tcPr>
          <w:p w14:paraId="65C65493">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3667" w:type="pct"/>
            <w:vAlign w:val="center"/>
          </w:tcPr>
          <w:p w14:paraId="43D717F5">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磋商小组根据供应商提供的拟投入场地布置（配送区、仓储区、清洗区、加工区、分拣区、暂存区等）、设备配置（分拣设备、清洗设备、加工设备、冷藏冷冻设备、配送车辆、消毒设备等）及相关证明材料进行综合评审。</w:t>
            </w:r>
          </w:p>
          <w:p w14:paraId="35A50193">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（1）拟投入场地功能分区清晰、布局完整、流程合理，设备设施齐全、数量充足、配置科学、满足食材配送全流程作业需求，得6分；</w:t>
            </w:r>
          </w:p>
          <w:p w14:paraId="4AA7C130">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（2）拟投入场地功能布局较完整、分区基本合理，设备设施较齐全、配置较合理，能够满足配送服务需求，得4 分；</w:t>
            </w:r>
          </w:p>
          <w:p w14:paraId="1B62DB7F">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（3）拟投入场地功能布局基本完整，设备设施较少、配置一般，基本满足服务要求，得2分；</w:t>
            </w:r>
          </w:p>
          <w:p w14:paraId="2321E6FF">
            <w:pPr>
              <w:tabs>
                <w:tab w:val="left" w:pos="426"/>
              </w:tabs>
              <w:autoSpaceDE w:val="0"/>
              <w:autoSpaceDN w:val="0"/>
              <w:spacing w:line="400" w:lineRule="exac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（4）未提供相关材料的，本项 不得分。</w:t>
            </w:r>
          </w:p>
        </w:tc>
      </w:tr>
      <w:tr w14:paraId="1772C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557467E9">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2</w:t>
            </w:r>
          </w:p>
        </w:tc>
        <w:tc>
          <w:tcPr>
            <w:tcW w:w="663" w:type="pct"/>
            <w:vAlign w:val="center"/>
          </w:tcPr>
          <w:p w14:paraId="1D6C820F">
            <w:pPr>
              <w:tabs>
                <w:tab w:val="left" w:pos="426"/>
              </w:tabs>
              <w:autoSpaceDE w:val="0"/>
              <w:autoSpaceDN w:val="0"/>
              <w:spacing w:line="40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产品质量控制方案</w:t>
            </w:r>
          </w:p>
        </w:tc>
        <w:tc>
          <w:tcPr>
            <w:tcW w:w="358" w:type="pct"/>
            <w:shd w:val="clear" w:color="auto" w:fill="auto"/>
            <w:vAlign w:val="center"/>
          </w:tcPr>
          <w:p w14:paraId="4BFB0130">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3667" w:type="pct"/>
            <w:vAlign w:val="center"/>
          </w:tcPr>
          <w:p w14:paraId="483A4447">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磋商小组根据供应商提供的产品质量控制方案（包括原材料质量控制、加工过程中质量控制、仓储运输质量控制、检验检测与追溯、应急与整改等内容）进行综合评审，具体评分如下：</w:t>
            </w:r>
          </w:p>
          <w:p w14:paraId="433BC10A">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（1）方案详尽、精细、科学合理、操作性强，覆盖全流程管控要点，标准明确、流程闭环、可直接落地执行，得6 分；</w:t>
            </w:r>
          </w:p>
          <w:p w14:paraId="4E69A51B">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（2）方案较为全面、较详细合理、规范科学，主要环节完整，具备可执行性，得5分；</w:t>
            </w:r>
          </w:p>
          <w:p w14:paraId="6D0CE3D2">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（3）方案内容简单，仅列明基本框架，关键措施不够具体，得4分；</w:t>
            </w:r>
          </w:p>
          <w:p w14:paraId="5E7CEF80">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（4）方案内容笼统、操作性差，缺少关键流程与标准，难以落地实施，得3分；</w:t>
            </w:r>
          </w:p>
          <w:p w14:paraId="55289C70">
            <w:pPr>
              <w:tabs>
                <w:tab w:val="left" w:pos="426"/>
              </w:tabs>
              <w:autoSpaceDE w:val="0"/>
              <w:autoSpaceDN w:val="0"/>
              <w:spacing w:line="400" w:lineRule="exac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（5）未提供产品质量控制方案的，本项不得分。</w:t>
            </w:r>
          </w:p>
        </w:tc>
      </w:tr>
      <w:tr w14:paraId="3EC7B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49201EF2">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3</w:t>
            </w:r>
          </w:p>
        </w:tc>
        <w:tc>
          <w:tcPr>
            <w:tcW w:w="663" w:type="pct"/>
            <w:vAlign w:val="center"/>
          </w:tcPr>
          <w:p w14:paraId="3D91D079">
            <w:pPr>
              <w:tabs>
                <w:tab w:val="left" w:pos="426"/>
              </w:tabs>
              <w:autoSpaceDE w:val="0"/>
              <w:autoSpaceDN w:val="0"/>
              <w:spacing w:line="400" w:lineRule="exact"/>
              <w:jc w:val="center"/>
              <w:rPr>
                <w:rFonts w:ascii="宋体" w:hAnsi="宋体" w:cs="宋体"/>
                <w:color w:val="auto"/>
                <w:kern w:val="0"/>
                <w:sz w:val="24"/>
                <w:highlight w:val="none"/>
                <w:lang w:eastAsia="en-US"/>
              </w:rPr>
            </w:pPr>
            <w:r>
              <w:rPr>
                <w:rFonts w:hint="eastAsia" w:ascii="宋体" w:hAnsi="宋体" w:cs="宋体"/>
                <w:color w:val="auto"/>
                <w:sz w:val="24"/>
                <w:highlight w:val="none"/>
                <w:lang w:eastAsia="en-US"/>
              </w:rPr>
              <w:t>服务质量控制方案</w:t>
            </w:r>
          </w:p>
        </w:tc>
        <w:tc>
          <w:tcPr>
            <w:tcW w:w="358" w:type="pct"/>
            <w:shd w:val="clear" w:color="auto" w:fill="auto"/>
            <w:vAlign w:val="center"/>
          </w:tcPr>
          <w:p w14:paraId="578D3FA7">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3667" w:type="pct"/>
            <w:vAlign w:val="center"/>
          </w:tcPr>
          <w:p w14:paraId="2B076AEA">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磋商小组根据供应商提供的服务质量控制方案（包括服务标准、服务流程、服务响应、服务意识、人员管理、投诉处理、质量保障措施等）进行综合评审。</w:t>
            </w:r>
          </w:p>
          <w:p w14:paraId="7973B868">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（1）方案详尽、精细，科学合理，操作性强，服务标准明确、流程规范、响应及时、保障措施完善，得6分；</w:t>
            </w:r>
          </w:p>
          <w:p w14:paraId="58AD8B14">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（2）方案较为全面，较详细合理、规范科学，服务内容较完整、措施较具体，具备可执行性，得5分；</w:t>
            </w:r>
          </w:p>
          <w:p w14:paraId="489685AC">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（3）方案内容简单，仅列明基本服务要求，措施不够具体，得4分；</w:t>
            </w:r>
          </w:p>
          <w:p w14:paraId="26F2EB23">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（4）方案内容笼统，操作性差，服务措施不清晰、难以落地执行，得3分；</w:t>
            </w:r>
          </w:p>
          <w:p w14:paraId="6700DBED">
            <w:pPr>
              <w:tabs>
                <w:tab w:val="left" w:pos="426"/>
              </w:tabs>
              <w:autoSpaceDE w:val="0"/>
              <w:autoSpaceDN w:val="0"/>
              <w:spacing w:line="400" w:lineRule="exac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（5）未提供服务质量控制方案的，本项不得分。</w:t>
            </w:r>
          </w:p>
        </w:tc>
      </w:tr>
      <w:tr w14:paraId="2AFA5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324CE28F">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4</w:t>
            </w:r>
          </w:p>
        </w:tc>
        <w:tc>
          <w:tcPr>
            <w:tcW w:w="663" w:type="pct"/>
            <w:vAlign w:val="center"/>
          </w:tcPr>
          <w:p w14:paraId="1E846593">
            <w:pPr>
              <w:tabs>
                <w:tab w:val="left" w:pos="426"/>
              </w:tabs>
              <w:autoSpaceDE w:val="0"/>
              <w:autoSpaceDN w:val="0"/>
              <w:spacing w:line="400" w:lineRule="exact"/>
              <w:jc w:val="center"/>
              <w:rPr>
                <w:rFonts w:ascii="宋体" w:hAnsi="宋体" w:cs="宋体"/>
                <w:color w:val="auto"/>
                <w:kern w:val="0"/>
                <w:sz w:val="24"/>
                <w:highlight w:val="none"/>
                <w:lang w:eastAsia="en-US"/>
              </w:rPr>
            </w:pPr>
            <w:r>
              <w:rPr>
                <w:rFonts w:hint="eastAsia" w:ascii="宋体" w:hAnsi="宋体" w:cs="宋体"/>
                <w:color w:val="auto"/>
                <w:sz w:val="24"/>
                <w:highlight w:val="none"/>
                <w:lang w:eastAsia="en-US"/>
              </w:rPr>
              <w:t>卫生管理控制方案</w:t>
            </w:r>
          </w:p>
        </w:tc>
        <w:tc>
          <w:tcPr>
            <w:tcW w:w="358" w:type="pct"/>
            <w:shd w:val="clear" w:color="auto" w:fill="auto"/>
            <w:vAlign w:val="center"/>
          </w:tcPr>
          <w:p w14:paraId="1CC9865D">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3667" w:type="pct"/>
            <w:vAlign w:val="center"/>
          </w:tcPr>
          <w:p w14:paraId="4BFCC08B">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磋商小组根据供应商提供的卫生管理控制方案（包括食品卫生、人员卫生、环境卫生、清洗消毒、防虫防鼠、废弃物处理等）进行综合评审。</w:t>
            </w:r>
          </w:p>
          <w:p w14:paraId="218A3A64">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（1）方案详尽、精细，科学合理，操作性强，卫生制度健全、管控措施具体、流程规范、覆盖全面，得6分；</w:t>
            </w:r>
          </w:p>
          <w:p w14:paraId="4D01A3EF">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（2）方案较为全面，较详细合理、规范科学，卫生管理措施较完善、内容较具体，具备可执行性，得5分；</w:t>
            </w:r>
          </w:p>
          <w:p w14:paraId="5ADE797B">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（3）方案内容简单，仅列明基本卫生要求，措施不够细化，得4分；</w:t>
            </w:r>
          </w:p>
          <w:p w14:paraId="506628FB">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（4）方案内容笼统，操作性差，卫生管理要求不明确、难以落地实施，得3分；</w:t>
            </w:r>
          </w:p>
          <w:p w14:paraId="76F83230">
            <w:pPr>
              <w:tabs>
                <w:tab w:val="left" w:pos="426"/>
              </w:tabs>
              <w:autoSpaceDE w:val="0"/>
              <w:autoSpaceDN w:val="0"/>
              <w:spacing w:line="400" w:lineRule="exac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（5）未提供卫生管理控制方案的，本项不得分。</w:t>
            </w:r>
          </w:p>
        </w:tc>
      </w:tr>
      <w:tr w14:paraId="0AEAB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0DB67BA4">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5</w:t>
            </w:r>
          </w:p>
        </w:tc>
        <w:tc>
          <w:tcPr>
            <w:tcW w:w="663" w:type="pct"/>
            <w:vAlign w:val="center"/>
          </w:tcPr>
          <w:p w14:paraId="05D2EE0E">
            <w:pPr>
              <w:tabs>
                <w:tab w:val="left" w:pos="426"/>
              </w:tabs>
              <w:autoSpaceDE w:val="0"/>
              <w:autoSpaceDN w:val="0"/>
              <w:spacing w:line="400" w:lineRule="exact"/>
              <w:jc w:val="center"/>
              <w:rPr>
                <w:rFonts w:ascii="宋体" w:hAnsi="宋体" w:cs="宋体"/>
                <w:color w:val="auto"/>
                <w:kern w:val="0"/>
                <w:sz w:val="24"/>
                <w:highlight w:val="none"/>
                <w:lang w:eastAsia="en-US"/>
              </w:rPr>
            </w:pPr>
            <w:r>
              <w:rPr>
                <w:rFonts w:hint="eastAsia" w:ascii="宋体" w:hAnsi="宋体" w:cs="宋体"/>
                <w:color w:val="auto"/>
                <w:sz w:val="24"/>
                <w:highlight w:val="none"/>
                <w:lang w:eastAsia="en-US"/>
              </w:rPr>
              <w:t>服务团队配备人员分工安排及岗位管理制度</w:t>
            </w:r>
          </w:p>
        </w:tc>
        <w:tc>
          <w:tcPr>
            <w:tcW w:w="358" w:type="pct"/>
            <w:shd w:val="clear" w:color="auto" w:fill="auto"/>
            <w:vAlign w:val="center"/>
          </w:tcPr>
          <w:p w14:paraId="0458D2A2">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3667" w:type="pct"/>
            <w:vAlign w:val="center"/>
          </w:tcPr>
          <w:p w14:paraId="64361D8A">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磋商小组根据供应商提供的服务团队配备、人员分工安排、岗位职责、岗位管理制度、人员配置合理性等相关材料进行综合评审。</w:t>
            </w:r>
          </w:p>
          <w:p w14:paraId="534E6D47">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（1）投入本项目的服务团队人员配置充足、分工清晰明确、岗位职责细化、岗位管理制度完整规范，配置方案科学合理、保障有力，能够完全满足并高效实施本项目所有服务要求，得6分；</w:t>
            </w:r>
          </w:p>
          <w:p w14:paraId="5AFEBBC3">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（2）投入本项目的服务团队人员分工安排合理，岗位管理制度健全、具备可操作性，人员配置方案基本能够满足并顺利实施本项目，得4分；</w:t>
            </w:r>
          </w:p>
          <w:p w14:paraId="2E3C114F">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（3）投入本项目的服务团队虽有人员分工安排，但人员配置不足、岗位设置不完善、制度存在缺漏，仅能基本满足项目需求，得2分；</w:t>
            </w:r>
          </w:p>
          <w:p w14:paraId="681F21A5">
            <w:pPr>
              <w:tabs>
                <w:tab w:val="left" w:pos="426"/>
              </w:tabs>
              <w:autoSpaceDE w:val="0"/>
              <w:autoSpaceDN w:val="0"/>
              <w:spacing w:line="400" w:lineRule="exact"/>
              <w:rPr>
                <w:rFonts w:ascii="宋体" w:hAnsi="宋体" w:cs="宋体"/>
                <w:color w:val="auto"/>
                <w:kern w:val="0"/>
                <w:sz w:val="24"/>
                <w:highlight w:val="none"/>
                <w:lang w:eastAsia="en-US"/>
              </w:rPr>
            </w:pPr>
            <w:r>
              <w:rPr>
                <w:rFonts w:hint="eastAsia" w:ascii="宋体" w:hAnsi="宋体" w:cs="宋体"/>
                <w:color w:val="auto"/>
                <w:kern w:val="0"/>
                <w:sz w:val="24"/>
                <w:highlight w:val="none"/>
                <w:lang w:eastAsia="zh-CN"/>
              </w:rPr>
              <w:t>（4）未提供相关材料的，本项不得分。</w:t>
            </w:r>
          </w:p>
        </w:tc>
      </w:tr>
      <w:tr w14:paraId="645A7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657FAEEF">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6</w:t>
            </w:r>
          </w:p>
        </w:tc>
        <w:tc>
          <w:tcPr>
            <w:tcW w:w="663" w:type="pct"/>
            <w:vAlign w:val="center"/>
          </w:tcPr>
          <w:p w14:paraId="0EA0A8EE">
            <w:pPr>
              <w:tabs>
                <w:tab w:val="left" w:pos="426"/>
              </w:tabs>
              <w:autoSpaceDE w:val="0"/>
              <w:autoSpaceDN w:val="0"/>
              <w:spacing w:line="40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应急响应预案</w:t>
            </w:r>
          </w:p>
        </w:tc>
        <w:tc>
          <w:tcPr>
            <w:tcW w:w="358" w:type="pct"/>
            <w:shd w:val="clear" w:color="auto" w:fill="auto"/>
            <w:vAlign w:val="center"/>
          </w:tcPr>
          <w:p w14:paraId="7E1A42B0">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3667" w:type="pct"/>
            <w:vAlign w:val="center"/>
          </w:tcPr>
          <w:p w14:paraId="15E79E71">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磋商小组根据供应商提供的应急响应预案（包括恶劣天气保障、公共卫生事件应对、食材断供应急、交通延误、食品安全突发事件、应急联络机制等）进行综合评审。</w:t>
            </w:r>
          </w:p>
          <w:p w14:paraId="2EE1EF23">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（1）预案详尽、精细，科学合理，操作性强，应急措施完善、流程清晰、责任明确、保障有力，得5分；</w:t>
            </w:r>
          </w:p>
          <w:p w14:paraId="2A9C8FAF">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（2）预案较为全面，较详细合理，规范科学，应急内容较完整、措施较具体，具备可执行性，得3分；</w:t>
            </w:r>
          </w:p>
          <w:p w14:paraId="0E5ECCCB">
            <w:pPr>
              <w:tabs>
                <w:tab w:val="left" w:pos="426"/>
              </w:tabs>
              <w:autoSpaceDE w:val="0"/>
              <w:autoSpaceDN w:val="0"/>
              <w:spacing w:line="40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（3）预案内容简单，仅列明基本应急思路，措施不够细化，得1分；</w:t>
            </w:r>
          </w:p>
          <w:p w14:paraId="02ADB512">
            <w:pPr>
              <w:tabs>
                <w:tab w:val="left" w:pos="426"/>
              </w:tabs>
              <w:autoSpaceDE w:val="0"/>
              <w:autoSpaceDN w:val="0"/>
              <w:spacing w:line="400" w:lineRule="exact"/>
              <w:rPr>
                <w:rFonts w:ascii="宋体" w:hAnsi="宋体" w:cs="宋体"/>
                <w:color w:val="auto"/>
                <w:kern w:val="0"/>
                <w:sz w:val="24"/>
                <w:highlight w:val="none"/>
                <w:lang w:val="zh-CN" w:eastAsia="en-US"/>
              </w:rPr>
            </w:pPr>
            <w:r>
              <w:rPr>
                <w:rFonts w:hint="eastAsia" w:ascii="宋体" w:hAnsi="宋体" w:cs="宋体"/>
                <w:color w:val="auto"/>
                <w:kern w:val="0"/>
                <w:sz w:val="24"/>
                <w:highlight w:val="none"/>
                <w:lang w:eastAsia="zh-CN"/>
              </w:rPr>
              <w:t>（4）未提供应急响应预案及承诺的，本项不得分。</w:t>
            </w:r>
          </w:p>
        </w:tc>
      </w:tr>
      <w:tr w14:paraId="5C95B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311" w:type="pct"/>
            <w:vAlign w:val="center"/>
          </w:tcPr>
          <w:p w14:paraId="56602F0B">
            <w:pPr>
              <w:widowControl/>
              <w:tabs>
                <w:tab w:val="left" w:pos="1200"/>
              </w:tabs>
              <w:autoSpaceDE/>
              <w:autoSpaceDN/>
              <w:spacing w:line="460" w:lineRule="exact"/>
              <w:jc w:val="center"/>
              <w:rPr>
                <w:rFonts w:ascii="宋体" w:hAnsi="宋体" w:cs="宋体"/>
                <w:color w:val="auto"/>
                <w:sz w:val="24"/>
                <w:highlight w:val="none"/>
                <w:lang w:eastAsia="en-US"/>
              </w:rPr>
            </w:pPr>
            <w:r>
              <w:rPr>
                <w:rFonts w:hint="eastAsia" w:ascii="宋体" w:hAnsi="宋体" w:cs="宋体"/>
                <w:color w:val="auto"/>
                <w:sz w:val="24"/>
                <w:highlight w:val="none"/>
                <w:lang w:eastAsia="en-US"/>
              </w:rPr>
              <w:t>7</w:t>
            </w:r>
          </w:p>
        </w:tc>
        <w:tc>
          <w:tcPr>
            <w:tcW w:w="663" w:type="pct"/>
            <w:vAlign w:val="center"/>
          </w:tcPr>
          <w:p w14:paraId="52A18C4D">
            <w:pPr>
              <w:tabs>
                <w:tab w:val="left" w:pos="426"/>
              </w:tabs>
              <w:autoSpaceDE w:val="0"/>
              <w:autoSpaceDN w:val="0"/>
              <w:spacing w:line="400" w:lineRule="exact"/>
              <w:jc w:val="center"/>
              <w:rPr>
                <w:rFonts w:ascii="宋体" w:hAnsi="宋体" w:cs="宋体"/>
                <w:bCs/>
                <w:color w:val="auto"/>
                <w:kern w:val="0"/>
                <w:sz w:val="24"/>
                <w:highlight w:val="none"/>
                <w:lang w:eastAsia="en-US"/>
              </w:rPr>
            </w:pPr>
            <w:r>
              <w:rPr>
                <w:rFonts w:hint="eastAsia" w:ascii="宋体" w:hAnsi="宋体" w:cs="宋体"/>
                <w:color w:val="auto"/>
                <w:sz w:val="24"/>
                <w:highlight w:val="none"/>
                <w:lang w:eastAsia="en-US"/>
              </w:rPr>
              <w:t>服务及时性</w:t>
            </w:r>
          </w:p>
        </w:tc>
        <w:tc>
          <w:tcPr>
            <w:tcW w:w="358" w:type="pct"/>
            <w:shd w:val="clear" w:color="auto" w:fill="auto"/>
            <w:vAlign w:val="center"/>
          </w:tcPr>
          <w:p w14:paraId="5A8273CE">
            <w:pPr>
              <w:pStyle w:val="350"/>
              <w:autoSpaceDE w:val="0"/>
              <w:autoSpaceDN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3667" w:type="pct"/>
            <w:vAlign w:val="center"/>
          </w:tcPr>
          <w:p w14:paraId="04079836">
            <w:pPr>
              <w:tabs>
                <w:tab w:val="left" w:pos="426"/>
              </w:tabs>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为保证送货及时、补货方便、所送货物新鲜，</w:t>
            </w:r>
            <w:r>
              <w:rPr>
                <w:rFonts w:hint="eastAsia" w:ascii="宋体" w:hAnsi="宋体" w:cs="宋体"/>
                <w:color w:val="auto"/>
                <w:sz w:val="24"/>
                <w:highlight w:val="none"/>
                <w:lang w:eastAsia="zh-CN"/>
              </w:rPr>
              <w:t>供应商</w:t>
            </w:r>
            <w:r>
              <w:rPr>
                <w:rFonts w:hint="eastAsia" w:ascii="宋体" w:hAnsi="宋体" w:cs="宋体"/>
                <w:color w:val="auto"/>
                <w:sz w:val="24"/>
                <w:highlight w:val="none"/>
                <w:lang w:eastAsia="en-US"/>
              </w:rPr>
              <w:t>提供响应时间、到位时间、服务及时性等方案，由</w:t>
            </w:r>
            <w:r>
              <w:rPr>
                <w:rFonts w:hint="eastAsia" w:ascii="宋体" w:hAnsi="宋体" w:cs="宋体"/>
                <w:color w:val="auto"/>
                <w:sz w:val="24"/>
                <w:highlight w:val="none"/>
                <w:lang w:eastAsia="zh-CN"/>
              </w:rPr>
              <w:t>磋商小组</w:t>
            </w:r>
            <w:r>
              <w:rPr>
                <w:rFonts w:hint="eastAsia" w:ascii="宋体" w:hAnsi="宋体" w:cs="宋体"/>
                <w:color w:val="auto"/>
                <w:sz w:val="24"/>
                <w:highlight w:val="none"/>
                <w:lang w:eastAsia="en-US"/>
              </w:rPr>
              <w:t>综合评审。</w:t>
            </w:r>
          </w:p>
          <w:p w14:paraId="246DA422">
            <w:pPr>
              <w:tabs>
                <w:tab w:val="left" w:pos="426"/>
              </w:tabs>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（1）内容详尽、精细、方案性强的，得</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en-US"/>
              </w:rPr>
              <w:t>分；</w:t>
            </w:r>
          </w:p>
          <w:p w14:paraId="1256641F">
            <w:pPr>
              <w:tabs>
                <w:tab w:val="left" w:pos="426"/>
              </w:tabs>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（2）内容完整的，得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en-US"/>
              </w:rPr>
              <w:t>分；</w:t>
            </w:r>
          </w:p>
          <w:p w14:paraId="6C164494">
            <w:pPr>
              <w:tabs>
                <w:tab w:val="left" w:pos="426"/>
              </w:tabs>
              <w:autoSpaceDE w:val="0"/>
              <w:autoSpaceDN w:val="0"/>
              <w:spacing w:line="400" w:lineRule="exact"/>
              <w:rPr>
                <w:rFonts w:ascii="宋体" w:hAnsi="宋体" w:cs="宋体"/>
                <w:color w:val="auto"/>
                <w:sz w:val="24"/>
                <w:highlight w:val="none"/>
                <w:lang w:eastAsia="en-US"/>
              </w:rPr>
            </w:pPr>
            <w:r>
              <w:rPr>
                <w:rFonts w:hint="eastAsia" w:ascii="宋体" w:hAnsi="宋体" w:cs="宋体"/>
                <w:color w:val="auto"/>
                <w:sz w:val="24"/>
                <w:highlight w:val="none"/>
                <w:lang w:eastAsia="en-US"/>
              </w:rPr>
              <w:t>（3）内容简单的，得</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en-US"/>
              </w:rPr>
              <w:t>分；</w:t>
            </w:r>
          </w:p>
          <w:p w14:paraId="3CE89EF4">
            <w:pPr>
              <w:tabs>
                <w:tab w:val="left" w:pos="426"/>
              </w:tabs>
              <w:autoSpaceDE w:val="0"/>
              <w:autoSpaceDN w:val="0"/>
              <w:spacing w:line="400" w:lineRule="exact"/>
              <w:rPr>
                <w:rFonts w:ascii="宋体" w:hAnsi="宋体" w:cs="宋体"/>
                <w:color w:val="auto"/>
                <w:kern w:val="0"/>
                <w:sz w:val="24"/>
                <w:highlight w:val="none"/>
                <w:lang w:val="zh-CN" w:eastAsia="en-US"/>
              </w:rPr>
            </w:pPr>
            <w:r>
              <w:rPr>
                <w:rFonts w:hint="eastAsia" w:ascii="宋体" w:hAnsi="宋体" w:cs="宋体"/>
                <w:color w:val="auto"/>
                <w:sz w:val="24"/>
                <w:highlight w:val="none"/>
                <w:lang w:eastAsia="en-US"/>
              </w:rPr>
              <w:t>（4）未提供不得分。</w:t>
            </w:r>
          </w:p>
        </w:tc>
      </w:tr>
    </w:tbl>
    <w:p w14:paraId="4EF1889D">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注：1.评分细则中要求提供的证明文件及资料等在磋商响应文件中提供并加盖公章，否则不得分。</w:t>
      </w:r>
    </w:p>
    <w:p w14:paraId="5C851939">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2.评审时，未能按以上要求提供相应证明的，不作为评审依据，不得分。</w:t>
      </w:r>
    </w:p>
    <w:p w14:paraId="4B5E19DF">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sectPr>
          <w:pgSz w:w="11906" w:h="16838"/>
          <w:pgMar w:top="1440" w:right="1800" w:bottom="1440" w:left="1800" w:header="851" w:footer="992" w:gutter="0"/>
          <w:pgNumType w:fmt="decimal"/>
          <w:cols w:space="1701" w:num="1"/>
          <w:docGrid w:linePitch="360" w:charSpace="0"/>
        </w:sectPr>
      </w:pPr>
    </w:p>
    <w:p w14:paraId="3FB168F9">
      <w:pPr>
        <w:keepNext w:val="0"/>
        <w:keepLines w:val="0"/>
        <w:pageBreakBefore w:val="0"/>
        <w:widowControl w:val="0"/>
        <w:spacing w:line="360" w:lineRule="auto"/>
        <w:contextualSpacing/>
        <w:jc w:val="center"/>
        <w:outlineLvl w:val="0"/>
        <w:rPr>
          <w:b/>
          <w:color w:val="auto"/>
          <w:sz w:val="36"/>
          <w:szCs w:val="36"/>
          <w:highlight w:val="none"/>
        </w:rPr>
      </w:pPr>
      <w:bookmarkStart w:id="608" w:name="_Toc104818928"/>
      <w:bookmarkStart w:id="609" w:name="_Toc20962"/>
      <w:r>
        <w:rPr>
          <w:b/>
          <w:color w:val="auto"/>
          <w:sz w:val="36"/>
          <w:szCs w:val="36"/>
          <w:highlight w:val="none"/>
        </w:rPr>
        <w:t>第四章   采购需求</w:t>
      </w:r>
      <w:bookmarkEnd w:id="608"/>
      <w:bookmarkEnd w:id="609"/>
    </w:p>
    <w:p w14:paraId="067968A3">
      <w:pPr>
        <w:keepNext w:val="0"/>
        <w:keepLines w:val="0"/>
        <w:pageBreakBefore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一、采购标的</w:t>
      </w:r>
    </w:p>
    <w:p w14:paraId="1C734BB3">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本项目为</w:t>
      </w:r>
      <w:r>
        <w:rPr>
          <w:rFonts w:hint="eastAsia" w:ascii="宋体" w:hAnsi="宋体" w:cs="宋体"/>
          <w:color w:val="auto"/>
          <w:spacing w:val="2"/>
          <w:sz w:val="24"/>
          <w:szCs w:val="24"/>
          <w:highlight w:val="none"/>
          <w:u w:val="none"/>
          <w:lang w:eastAsia="zh-CN"/>
        </w:rPr>
        <w:t>2026年-2028年南大街街道食堂食材配送服务项目</w:t>
      </w:r>
      <w:r>
        <w:rPr>
          <w:rFonts w:hint="eastAsia" w:ascii="宋体" w:hAnsi="宋体" w:eastAsia="宋体" w:cs="宋体"/>
          <w:color w:val="auto"/>
          <w:spacing w:val="2"/>
          <w:sz w:val="24"/>
          <w:szCs w:val="24"/>
          <w:highlight w:val="none"/>
          <w:u w:val="none"/>
          <w:lang w:eastAsia="zh-CN"/>
        </w:rPr>
        <w:t>，</w:t>
      </w:r>
      <w:r>
        <w:rPr>
          <w:rFonts w:hint="eastAsia" w:ascii="宋体" w:hAnsi="宋体" w:cs="宋体"/>
          <w:color w:val="auto"/>
          <w:sz w:val="24"/>
          <w:szCs w:val="24"/>
          <w:highlight w:val="none"/>
          <w:lang w:eastAsia="zh-CN"/>
        </w:rPr>
        <w:t>服务内容包括为切实加强</w:t>
      </w:r>
      <w:r>
        <w:rPr>
          <w:rFonts w:hint="eastAsia" w:ascii="宋体" w:hAnsi="宋体" w:cs="宋体"/>
          <w:color w:val="auto"/>
          <w:sz w:val="24"/>
          <w:szCs w:val="24"/>
          <w:highlight w:val="none"/>
          <w:lang w:val="en-US" w:eastAsia="zh-CN"/>
        </w:rPr>
        <w:t>南大街街道</w:t>
      </w:r>
      <w:r>
        <w:rPr>
          <w:rFonts w:hint="eastAsia" w:ascii="宋体" w:hAnsi="宋体" w:cs="宋体"/>
          <w:color w:val="auto"/>
          <w:sz w:val="24"/>
          <w:szCs w:val="24"/>
          <w:highlight w:val="none"/>
          <w:lang w:eastAsia="zh-CN"/>
        </w:rPr>
        <w:t>食堂食品卫生安全管理及物资采购管理，进一步提高食堂饭菜质量，确保原材料采购价格公开、透明、合理，推动食堂后勤服务的“集约化”和“专业化”，</w:t>
      </w:r>
      <w:r>
        <w:rPr>
          <w:rFonts w:hint="eastAsia" w:ascii="宋体" w:hAnsi="宋体" w:cs="宋体"/>
          <w:color w:val="auto"/>
          <w:sz w:val="24"/>
          <w:highlight w:val="none"/>
        </w:rPr>
        <w:t>主要包含</w:t>
      </w:r>
      <w:r>
        <w:rPr>
          <w:rFonts w:hint="eastAsia" w:ascii="宋体" w:hAnsi="宋体" w:cs="宋体"/>
          <w:color w:val="auto"/>
          <w:sz w:val="24"/>
          <w:highlight w:val="none"/>
          <w:lang w:val="en-US" w:eastAsia="zh-CN"/>
        </w:rPr>
        <w:t>午餐</w:t>
      </w:r>
      <w:r>
        <w:rPr>
          <w:rFonts w:hint="eastAsia" w:ascii="宋体" w:hAnsi="宋体" w:cs="宋体"/>
          <w:color w:val="auto"/>
          <w:sz w:val="24"/>
          <w:highlight w:val="none"/>
        </w:rPr>
        <w:t>食材、调味品、水果、牛奶等食品采购及配送等。</w:t>
      </w:r>
    </w:p>
    <w:p w14:paraId="4630E8F2">
      <w:pPr>
        <w:keepNext w:val="0"/>
        <w:keepLines w:val="0"/>
        <w:pageBreakBefore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二、商务要求</w:t>
      </w:r>
    </w:p>
    <w:p w14:paraId="24FD77C2">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rPr>
        <w:t>服务期限</w:t>
      </w:r>
    </w:p>
    <w:p w14:paraId="7FE2F14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暂定三年，合同一年一签。其中前三个月为试用期，试用期满须经采购人考核，考核不合格，采购人可以解除合同。每年合同期满经采购人考核合格后可续签下一年度合同。</w:t>
      </w:r>
    </w:p>
    <w:p w14:paraId="154D65AE">
      <w:pPr>
        <w:keepNext w:val="0"/>
        <w:keepLines w:val="0"/>
        <w:pageBreakBefore w:val="0"/>
        <w:widowControl w:val="0"/>
        <w:spacing w:line="360" w:lineRule="auto"/>
        <w:ind w:firstLine="488"/>
        <w:outlineLvl w:val="9"/>
        <w:rPr>
          <w:rFonts w:hint="default"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w:t>
      </w:r>
      <w:r>
        <w:rPr>
          <w:rFonts w:hint="eastAsia" w:ascii="宋体" w:hAnsi="宋体" w:cs="宋体"/>
          <w:b/>
          <w:bCs/>
          <w:color w:val="auto"/>
          <w:spacing w:val="2"/>
          <w:sz w:val="24"/>
          <w:szCs w:val="24"/>
          <w:highlight w:val="none"/>
          <w:u w:val="none"/>
          <w:lang w:val="en-US" w:eastAsia="zh-CN"/>
        </w:rPr>
        <w:t>付款方式</w:t>
      </w:r>
    </w:p>
    <w:p w14:paraId="10DAD2E4">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按食材价格定价方式确定的配送价格，结合考核结果进行结算。具体为采购人每</w:t>
      </w:r>
      <w:r>
        <w:rPr>
          <w:rFonts w:hint="eastAsia" w:ascii="宋体" w:hAnsi="宋体" w:cs="宋体"/>
          <w:color w:val="auto"/>
          <w:spacing w:val="2"/>
          <w:sz w:val="24"/>
          <w:szCs w:val="24"/>
          <w:highlight w:val="none"/>
          <w:u w:val="none"/>
          <w:lang w:val="en-US" w:eastAsia="zh-CN"/>
        </w:rPr>
        <w:t>季度</w:t>
      </w:r>
      <w:r>
        <w:rPr>
          <w:rFonts w:hint="eastAsia" w:ascii="宋体" w:hAnsi="宋体" w:eastAsia="宋体" w:cs="宋体"/>
          <w:color w:val="auto"/>
          <w:spacing w:val="2"/>
          <w:sz w:val="24"/>
          <w:szCs w:val="24"/>
          <w:highlight w:val="none"/>
          <w:u w:val="none"/>
          <w:lang w:val="en-US" w:eastAsia="zh-CN"/>
        </w:rPr>
        <w:t>底与成交供应商结算本</w:t>
      </w:r>
      <w:r>
        <w:rPr>
          <w:rFonts w:hint="eastAsia" w:ascii="宋体" w:hAnsi="宋体" w:cs="宋体"/>
          <w:color w:val="auto"/>
          <w:spacing w:val="2"/>
          <w:sz w:val="24"/>
          <w:szCs w:val="24"/>
          <w:highlight w:val="none"/>
          <w:u w:val="none"/>
          <w:lang w:val="en-US" w:eastAsia="zh-CN"/>
        </w:rPr>
        <w:t>季度</w:t>
      </w:r>
      <w:r>
        <w:rPr>
          <w:rFonts w:hint="eastAsia" w:ascii="宋体" w:hAnsi="宋体" w:eastAsia="宋体" w:cs="宋体"/>
          <w:color w:val="auto"/>
          <w:spacing w:val="2"/>
          <w:sz w:val="24"/>
          <w:szCs w:val="24"/>
          <w:highlight w:val="none"/>
          <w:u w:val="none"/>
          <w:lang w:val="en-US" w:eastAsia="zh-CN"/>
        </w:rPr>
        <w:t>货款，并进入支付环节。成交供应商需开具正规的税务发票并及时送达采购人，逾期产生的责任由成交供应商承担。</w:t>
      </w:r>
    </w:p>
    <w:p w14:paraId="284CE215">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原材料费用按</w:t>
      </w:r>
      <w:r>
        <w:rPr>
          <w:rFonts w:hint="eastAsia" w:ascii="宋体" w:hAnsi="宋体" w:cs="宋体"/>
          <w:color w:val="auto"/>
          <w:spacing w:val="2"/>
          <w:sz w:val="24"/>
          <w:szCs w:val="24"/>
          <w:highlight w:val="none"/>
          <w:u w:val="none"/>
          <w:lang w:val="en-US" w:eastAsia="zh-CN"/>
        </w:rPr>
        <w:t>季度</w:t>
      </w:r>
      <w:r>
        <w:rPr>
          <w:rFonts w:hint="eastAsia" w:ascii="宋体" w:hAnsi="宋体" w:eastAsia="宋体" w:cs="宋体"/>
          <w:color w:val="auto"/>
          <w:spacing w:val="2"/>
          <w:sz w:val="24"/>
          <w:szCs w:val="24"/>
          <w:highlight w:val="none"/>
          <w:u w:val="none"/>
          <w:lang w:val="en-US" w:eastAsia="zh-CN"/>
        </w:rPr>
        <w:t>进行结算：经采购人审核通过后，成交供应商开具符合采购人要求的正规发票，采购人在收到发票后30个工作日内办理上</w:t>
      </w:r>
      <w:r>
        <w:rPr>
          <w:rFonts w:hint="eastAsia" w:ascii="宋体" w:hAnsi="宋体" w:cs="宋体"/>
          <w:color w:val="auto"/>
          <w:spacing w:val="2"/>
          <w:sz w:val="24"/>
          <w:szCs w:val="24"/>
          <w:highlight w:val="none"/>
          <w:u w:val="none"/>
          <w:lang w:val="en-US" w:eastAsia="zh-CN"/>
        </w:rPr>
        <w:t>季度</w:t>
      </w:r>
      <w:r>
        <w:rPr>
          <w:rFonts w:hint="eastAsia" w:ascii="宋体" w:hAnsi="宋体" w:eastAsia="宋体" w:cs="宋体"/>
          <w:color w:val="auto"/>
          <w:spacing w:val="2"/>
          <w:sz w:val="24"/>
          <w:szCs w:val="24"/>
          <w:highlight w:val="none"/>
          <w:u w:val="none"/>
          <w:lang w:val="en-US" w:eastAsia="zh-CN"/>
        </w:rPr>
        <w:t>的配送额支付手续，如遇周末、节假日，则顺延至下一个工作日。</w:t>
      </w:r>
    </w:p>
    <w:p w14:paraId="4F0F7263">
      <w:pPr>
        <w:keepNext w:val="0"/>
        <w:keepLines w:val="0"/>
        <w:pageBreakBefore w:val="0"/>
        <w:widowControl w:val="0"/>
        <w:numPr>
          <w:ilvl w:val="0"/>
          <w:numId w:val="0"/>
        </w:numPr>
        <w:spacing w:line="360" w:lineRule="auto"/>
        <w:ind w:firstLine="490"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3.结算方式</w:t>
      </w:r>
    </w:p>
    <w:p w14:paraId="2D89BCAB">
      <w:pPr>
        <w:keepNext w:val="0"/>
        <w:keepLines w:val="0"/>
        <w:pageBreakBefore w:val="0"/>
        <w:widowControl w:val="0"/>
        <w:numPr>
          <w:ilvl w:val="0"/>
          <w:numId w:val="0"/>
        </w:numPr>
        <w:spacing w:line="360" w:lineRule="auto"/>
        <w:ind w:firstLine="490" w:firstLineChars="200"/>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本项目以优惠率进行报价。0≤优惠率&lt;100%，超出此范围则视为无效</w:t>
      </w:r>
      <w:r>
        <w:rPr>
          <w:rFonts w:hint="eastAsia" w:ascii="宋体" w:hAnsi="宋体" w:cs="宋体"/>
          <w:b/>
          <w:bCs/>
          <w:color w:val="auto"/>
          <w:spacing w:val="2"/>
          <w:sz w:val="24"/>
          <w:szCs w:val="24"/>
          <w:highlight w:val="none"/>
          <w:u w:val="none"/>
          <w:lang w:val="en-US" w:eastAsia="zh-CN"/>
        </w:rPr>
        <w:t>响应</w:t>
      </w:r>
      <w:r>
        <w:rPr>
          <w:rFonts w:hint="eastAsia" w:ascii="宋体" w:hAnsi="宋体" w:eastAsia="宋体" w:cs="宋体"/>
          <w:b/>
          <w:bCs/>
          <w:color w:val="auto"/>
          <w:spacing w:val="2"/>
          <w:sz w:val="24"/>
          <w:szCs w:val="24"/>
          <w:highlight w:val="none"/>
          <w:u w:val="none"/>
          <w:lang w:val="en-US" w:eastAsia="zh-CN"/>
        </w:rPr>
        <w:t>。</w:t>
      </w:r>
    </w:p>
    <w:p w14:paraId="38A99D47">
      <w:pPr>
        <w:keepNext w:val="0"/>
        <w:keepLines w:val="0"/>
        <w:pageBreakBefore w:val="0"/>
        <w:widowControl w:val="0"/>
        <w:numPr>
          <w:ilvl w:val="0"/>
          <w:numId w:val="0"/>
        </w:numPr>
        <w:spacing w:line="360" w:lineRule="auto"/>
        <w:ind w:firstLine="490" w:firstLineChars="200"/>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结算价格=公示价格*（1-优惠率)。</w:t>
      </w:r>
    </w:p>
    <w:p w14:paraId="74ED6A52">
      <w:pPr>
        <w:spacing w:line="360" w:lineRule="auto"/>
        <w:ind w:firstLine="490" w:firstLineChars="200"/>
        <w:contextualSpacing/>
        <w:rPr>
          <w:rFonts w:hint="default" w:ascii="宋体" w:hAnsi="宋体" w:eastAsia="宋体" w:cs="宋体"/>
          <w:bCs/>
          <w:color w:val="auto"/>
          <w:sz w:val="24"/>
          <w:highlight w:val="none"/>
          <w:lang w:val="en-US" w:eastAsia="zh-CN"/>
        </w:rPr>
      </w:pPr>
      <w:r>
        <w:rPr>
          <w:rFonts w:hint="eastAsia" w:ascii="宋体" w:hAnsi="宋体" w:eastAsia="宋体" w:cs="宋体"/>
          <w:b/>
          <w:bCs/>
          <w:color w:val="auto"/>
          <w:spacing w:val="2"/>
          <w:sz w:val="24"/>
          <w:szCs w:val="24"/>
          <w:highlight w:val="none"/>
          <w:u w:val="none"/>
          <w:lang w:val="en-US" w:eastAsia="zh-CN"/>
        </w:rPr>
        <w:t>各供应商按照常州市权威部门（价格通）发布的菜市场平均价为报价基数报优惠率（例如：优惠率1%，则结算价格为报价基数的99%；优惠率5%，则结算价格为报价基数的95%，以此为例）。如常州市权威部门（价格通）发布的菜市场平均价未有相应参照价格的，则由采购人与成交供应商协商确定供货价格。</w:t>
      </w:r>
    </w:p>
    <w:p w14:paraId="14394C9F">
      <w:pPr>
        <w:keepNext w:val="0"/>
        <w:keepLines w:val="0"/>
        <w:pageBreakBefore w:val="0"/>
        <w:widowControl w:val="0"/>
        <w:kinsoku/>
        <w:wordWrap/>
        <w:overflowPunct/>
        <w:topLinePunct w:val="0"/>
        <w:autoSpaceDE/>
        <w:autoSpaceDN/>
        <w:bidi w:val="0"/>
        <w:adjustRightInd/>
        <w:snapToGrid w:val="0"/>
        <w:spacing w:line="460" w:lineRule="exact"/>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szCs w:val="24"/>
          <w:highlight w:val="none"/>
          <w:lang w:val="en-US" w:eastAsia="zh-CN"/>
        </w:rPr>
        <w:t>服务内容</w:t>
      </w:r>
    </w:p>
    <w:p w14:paraId="6C879FAE">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.配送地点：常州市钟楼区广化街187号</w:t>
      </w:r>
      <w:r>
        <w:rPr>
          <w:rFonts w:hint="eastAsia" w:ascii="宋体" w:hAnsi="宋体"/>
          <w:b w:val="0"/>
          <w:bCs w:val="0"/>
          <w:color w:val="auto"/>
          <w:sz w:val="24"/>
          <w:highlight w:val="none"/>
        </w:rPr>
        <w:t>。</w:t>
      </w:r>
    </w:p>
    <w:p w14:paraId="7EE95B9D">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.配送范围及质量标准</w:t>
      </w:r>
    </w:p>
    <w:p w14:paraId="6F4DED6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（1）配送范围：对</w:t>
      </w:r>
      <w:r>
        <w:rPr>
          <w:rFonts w:hint="eastAsia" w:ascii="宋体" w:hAnsi="宋体"/>
          <w:color w:val="auto"/>
          <w:sz w:val="24"/>
          <w:highlight w:val="none"/>
          <w:lang w:val="en-US" w:eastAsia="zh-CN"/>
        </w:rPr>
        <w:t>南大街街道</w:t>
      </w:r>
      <w:r>
        <w:rPr>
          <w:rFonts w:hint="eastAsia" w:ascii="宋体" w:hAnsi="宋体"/>
          <w:color w:val="auto"/>
          <w:sz w:val="24"/>
          <w:highlight w:val="none"/>
        </w:rPr>
        <w:t>食堂所需的肉类、水产、蔬菜、水果、禽类、蛋类、调味品、豆制品、乳制品、干货、粮、油、面粉、面制品、半成品菜和卤菜等进行统一配送。</w:t>
      </w:r>
    </w:p>
    <w:p w14:paraId="66E14FD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（2）质量标准：</w:t>
      </w:r>
    </w:p>
    <w:p w14:paraId="42000C0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①猪肉配送标准：使用冷鲜肉优质产品，猪肉质量必须符合GB/T 9959.1-2019《鲜、冻猪肉 第1部分：片猪肉》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p>
    <w:p w14:paraId="5CBD945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②家禽冻品（鸡腿、鸡翅、鸡尖等）质量要求：</w:t>
      </w:r>
      <w:r>
        <w:rPr>
          <w:rFonts w:hint="eastAsia" w:ascii="宋体" w:hAnsi="宋体"/>
          <w:color w:val="auto"/>
          <w:sz w:val="24"/>
          <w:highlight w:val="none"/>
          <w:lang w:eastAsia="zh-CN"/>
        </w:rPr>
        <w:t>成交供应商</w:t>
      </w:r>
      <w:r>
        <w:rPr>
          <w:rFonts w:hint="eastAsia" w:ascii="宋体" w:hAnsi="宋体"/>
          <w:color w:val="auto"/>
          <w:sz w:val="24"/>
          <w:highlight w:val="none"/>
        </w:rPr>
        <w:t>须提供产品合格证明文件，动物产品提供《动物或动物产品分销信息凭证》或《动物检疫合格证》。</w:t>
      </w:r>
    </w:p>
    <w:p w14:paraId="4795C15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③豆制品质量要求：发酵性豆制品和非发酵性豆制品必须符合GB2712-2014《食品安全国家标准豆制品》标准，对豆制品的有关安全健康指标符合国家规定，并具有“SC”食品质量安全认证。</w:t>
      </w:r>
    </w:p>
    <w:p w14:paraId="1C4D402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④水产品质量要求：必须符合GB2733-2015《食品安全国家标准 鲜、冻动物性水产品》和GB10136-2015《食品安全国家标准 动物性水产制品》和GB 19643-2016《食品安全国家标准藻类及其制品》等。产品的感观、安全、卫生、稳定性等指标符合相关规定。</w:t>
      </w:r>
    </w:p>
    <w:p w14:paraId="21A51E5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⑤蔬菜质量要求：蔬菜应符合《食品安全国家标准 食品中农药最大残留限量》（GB2763-2021）及《食品中污染物限量》（GB2762-2022）要求。对蔬菜中有害物质严格控制在标准规定范围之内。蔬菜需粗加工（去泥、去黄叶、去根茎</w:t>
      </w:r>
      <w:r>
        <w:rPr>
          <w:rFonts w:ascii="宋体" w:hAnsi="宋体"/>
          <w:color w:val="auto"/>
          <w:sz w:val="24"/>
          <w:highlight w:val="none"/>
        </w:rPr>
        <w:t>,</w:t>
      </w:r>
      <w:r>
        <w:rPr>
          <w:rFonts w:hint="eastAsia" w:ascii="宋体" w:hAnsi="宋体"/>
          <w:color w:val="auto"/>
          <w:sz w:val="24"/>
          <w:highlight w:val="none"/>
        </w:rPr>
        <w:t>部分菜切片切丝）。</w:t>
      </w:r>
    </w:p>
    <w:p w14:paraId="3F38A17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⑥调味品质量要求：食用盐符合符合GB5461-2016标准，酱油符合GB18186-2021标准，味精符合GB2720-2015标准，淀粉制品（如生粉、粉丝等）符合GB2713-2015标准，食糖符合</w:t>
      </w:r>
      <w:r>
        <w:rPr>
          <w:rFonts w:ascii="宋体" w:hAnsi="宋体" w:cs="宋体"/>
          <w:color w:val="auto"/>
          <w:sz w:val="24"/>
          <w:highlight w:val="none"/>
        </w:rPr>
        <w:t>GB13104-2014</w:t>
      </w:r>
      <w:r>
        <w:rPr>
          <w:rFonts w:hint="eastAsia" w:ascii="宋体" w:hAnsi="宋体"/>
          <w:color w:val="auto"/>
          <w:sz w:val="24"/>
          <w:highlight w:val="none"/>
        </w:rPr>
        <w:t>标准，酿造食醋：符合GB18187-2021标准；如提供镇江香醋，镇江香醋符合GB/T18623-2011标准。</w:t>
      </w:r>
    </w:p>
    <w:p w14:paraId="6608035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⑦食品添加剂质量要求：所供食品中使用的食品添加剂，其品种、功能、使用范围及最大使用量应严格符合《食品安全国家标准食品添加剂使用标准》（GB2760-2014）要求，对食品的添加量严格控制在标准规定范围之内。</w:t>
      </w:r>
    </w:p>
    <w:p w14:paraId="53EC97B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⑧鲜蛋质量要求：鸡蛋等新鲜蛋类必须符合</w:t>
      </w:r>
      <w:r>
        <w:rPr>
          <w:rFonts w:ascii="宋体" w:hAnsi="宋体" w:cs="宋体"/>
          <w:color w:val="auto"/>
          <w:sz w:val="24"/>
          <w:highlight w:val="none"/>
        </w:rPr>
        <w:t>符合GB2749-2015</w:t>
      </w:r>
      <w:r>
        <w:rPr>
          <w:rFonts w:hint="eastAsia" w:ascii="宋体" w:hAnsi="宋体"/>
          <w:color w:val="auto"/>
          <w:sz w:val="24"/>
          <w:highlight w:val="none"/>
        </w:rPr>
        <w:t>标准。</w:t>
      </w:r>
    </w:p>
    <w:p w14:paraId="328E7AF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⑨粮、油、面粉、面制品：必须符合现行国家标准。严禁使用转基因食品。</w:t>
      </w:r>
    </w:p>
    <w:p w14:paraId="7F28109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⑩使用大米：参照或相当于：广多牌长粒香、宝应武育粳、常金清香米。</w:t>
      </w:r>
    </w:p>
    <w:p w14:paraId="24D8064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⑪食用油：参照或相当于：金龙鱼、鲁花、福临门。</w:t>
      </w:r>
    </w:p>
    <w:p w14:paraId="7AAACA2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⑫半成品和卤菜质量要求：严禁使用预制菜。应符合国家卫生行业标准及相关法律法规要求，保证达到所需的热处理和热杀菌时间，确保无菌安全。</w:t>
      </w:r>
    </w:p>
    <w:p w14:paraId="47F6964B">
      <w:pPr>
        <w:spacing w:line="360" w:lineRule="auto"/>
        <w:ind w:firstLine="482" w:firstLineChars="200"/>
        <w:rPr>
          <w:rFonts w:ascii="宋体" w:hAnsi="宋体" w:cs="宋体"/>
          <w:b/>
          <w:bCs/>
          <w:color w:val="auto"/>
          <w:sz w:val="24"/>
          <w:highlight w:val="none"/>
          <w:lang w:bidi="ar"/>
        </w:rPr>
      </w:pPr>
      <w:r>
        <w:rPr>
          <w:rFonts w:hint="eastAsia" w:ascii="宋体" w:hAnsi="宋体" w:cs="宋体"/>
          <w:b/>
          <w:bCs/>
          <w:color w:val="auto"/>
          <w:sz w:val="24"/>
          <w:highlight w:val="none"/>
          <w:lang w:bidi="ar"/>
        </w:rPr>
        <w:t>注：上述标准如有更新，必须按最新标准执行。</w:t>
      </w:r>
    </w:p>
    <w:p w14:paraId="1E0D091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4.产品质量及检测报告要求</w:t>
      </w:r>
    </w:p>
    <w:p w14:paraId="703A507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（1）肉类（主要指冷冻肉）、豆制品、调味品、必须使用优质产品，其产品可以追根溯源。</w:t>
      </w:r>
    </w:p>
    <w:p w14:paraId="10C9AF7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（2）采购人将委托具有检测资质的第三方检测机构不定期对</w:t>
      </w:r>
      <w:r>
        <w:rPr>
          <w:rFonts w:hint="eastAsia" w:ascii="宋体" w:hAnsi="宋体"/>
          <w:color w:val="auto"/>
          <w:sz w:val="24"/>
          <w:highlight w:val="none"/>
          <w:lang w:eastAsia="zh-CN"/>
        </w:rPr>
        <w:t>成交供应商</w:t>
      </w:r>
      <w:r>
        <w:rPr>
          <w:rFonts w:hint="eastAsia" w:ascii="宋体" w:hAnsi="宋体"/>
          <w:color w:val="auto"/>
          <w:sz w:val="24"/>
          <w:highlight w:val="none"/>
        </w:rPr>
        <w:t>提供的食材进行检测。如检测发现质量问题，由</w:t>
      </w:r>
      <w:r>
        <w:rPr>
          <w:rFonts w:hint="eastAsia" w:ascii="宋体" w:hAnsi="宋体"/>
          <w:color w:val="auto"/>
          <w:sz w:val="24"/>
          <w:highlight w:val="none"/>
          <w:lang w:eastAsia="zh-CN"/>
        </w:rPr>
        <w:t>成交供应商</w:t>
      </w:r>
      <w:r>
        <w:rPr>
          <w:rFonts w:hint="eastAsia" w:ascii="宋体" w:hAnsi="宋体"/>
          <w:color w:val="auto"/>
          <w:sz w:val="24"/>
          <w:highlight w:val="none"/>
        </w:rPr>
        <w:t>承担检测费用。</w:t>
      </w:r>
    </w:p>
    <w:p w14:paraId="08A163AE">
      <w:pPr>
        <w:spacing w:line="360" w:lineRule="auto"/>
        <w:ind w:firstLine="480" w:firstLineChars="200"/>
        <w:rPr>
          <w:rFonts w:ascii="宋体" w:hAnsi="宋体"/>
          <w:b/>
          <w:bCs/>
          <w:color w:val="auto"/>
          <w:sz w:val="24"/>
          <w:highlight w:val="none"/>
        </w:rPr>
      </w:pPr>
      <w:r>
        <w:rPr>
          <w:rFonts w:hint="eastAsia" w:ascii="宋体" w:hAnsi="宋体"/>
          <w:color w:val="auto"/>
          <w:sz w:val="24"/>
          <w:highlight w:val="none"/>
        </w:rPr>
        <w:t>（3）</w:t>
      </w:r>
      <w:r>
        <w:rPr>
          <w:rFonts w:hint="eastAsia" w:ascii="宋体" w:hAnsi="宋体"/>
          <w:b/>
          <w:bCs/>
          <w:color w:val="auto"/>
          <w:sz w:val="24"/>
          <w:highlight w:val="none"/>
        </w:rPr>
        <w:t>严禁使用转基因食品。所有配送食品均需符合食品国家安全标准。</w:t>
      </w:r>
    </w:p>
    <w:p w14:paraId="4B1003F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5.卫生要求</w:t>
      </w:r>
    </w:p>
    <w:p w14:paraId="293873D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成交供应商</w:t>
      </w:r>
      <w:r>
        <w:rPr>
          <w:rFonts w:hint="eastAsia" w:ascii="宋体" w:hAnsi="宋体"/>
          <w:color w:val="auto"/>
          <w:sz w:val="24"/>
          <w:highlight w:val="none"/>
        </w:rPr>
        <w:t>供应的食材必须符合《中华人民共和国食品安全法》标准，并根据协议约定和食堂提出的品种、规格、数量、质量要求在规定的时间内及时送到。每日的配送清单须是打印稿，如发现食材卫生质量问题或者以次充好，按合同中违约责任相关条款处理。</w:t>
      </w:r>
    </w:p>
    <w:p w14:paraId="42AB057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成交供应商</w:t>
      </w:r>
      <w:r>
        <w:rPr>
          <w:rFonts w:hint="eastAsia" w:ascii="宋体" w:hAnsi="宋体"/>
          <w:color w:val="auto"/>
          <w:sz w:val="24"/>
          <w:highlight w:val="none"/>
        </w:rPr>
        <w:t>严禁提供以下食品：</w:t>
      </w:r>
    </w:p>
    <w:p w14:paraId="26AB4F8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①无品名、产地、厂名、生产日期、保质期及中文标识及原料说明的定型包装食品（除蔬菜、面点等非定型包装食品）；</w:t>
      </w:r>
    </w:p>
    <w:p w14:paraId="11D55D3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②超过保质期限或不符合食品标签规定的定型包装食品；</w:t>
      </w:r>
    </w:p>
    <w:p w14:paraId="0E4840F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③腐败变质、油脂酸败、霉变、生虫、污秽不洁、混有异物或者其他感官性状异常，含有毒、有害物质或者被有毒、有害物质污染，可能对人体健康有害的食品；</w:t>
      </w:r>
    </w:p>
    <w:p w14:paraId="1A87A2E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④病死、死因不明或从疫区采购的水产品、畜、禽及其制品，不合格调味品，工业用盐，非碘盐或非食品原料和滥用食品添加剂，农药残留超标的水果、蔬菜等；</w:t>
      </w:r>
    </w:p>
    <w:p w14:paraId="4D15E86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⑤其他不符合食品卫生标准和要求的食品。</w:t>
      </w:r>
    </w:p>
    <w:p w14:paraId="7E9E645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如因</w:t>
      </w:r>
      <w:r>
        <w:rPr>
          <w:rFonts w:hint="eastAsia" w:ascii="宋体" w:hAnsi="宋体"/>
          <w:color w:val="auto"/>
          <w:sz w:val="24"/>
          <w:highlight w:val="none"/>
          <w:lang w:eastAsia="zh-CN"/>
        </w:rPr>
        <w:t>成交供应商</w:t>
      </w:r>
      <w:r>
        <w:rPr>
          <w:rFonts w:hint="eastAsia" w:ascii="宋体" w:hAnsi="宋体"/>
          <w:color w:val="auto"/>
          <w:sz w:val="24"/>
          <w:highlight w:val="none"/>
        </w:rPr>
        <w:t>所供应食品的质量问题引起食物中毒等食源性疾病的发生或其他事故，由</w:t>
      </w:r>
      <w:r>
        <w:rPr>
          <w:rFonts w:hint="eastAsia" w:ascii="宋体" w:hAnsi="宋体"/>
          <w:color w:val="auto"/>
          <w:sz w:val="24"/>
          <w:highlight w:val="none"/>
          <w:lang w:eastAsia="zh-CN"/>
        </w:rPr>
        <w:t>成交供应商</w:t>
      </w:r>
      <w:r>
        <w:rPr>
          <w:rFonts w:hint="eastAsia" w:ascii="宋体" w:hAnsi="宋体"/>
          <w:color w:val="auto"/>
          <w:sz w:val="24"/>
          <w:highlight w:val="none"/>
        </w:rPr>
        <w:t>负全部责任，并承担由此而引起的全部经济损失及相关法律责任。情节较为严重的，采购人有权立即终止供货协议，并按相关法律处理。</w:t>
      </w:r>
    </w:p>
    <w:p w14:paraId="1F9EC4F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6.配送频率要求</w:t>
      </w:r>
    </w:p>
    <w:p w14:paraId="1D21506E">
      <w:pPr>
        <w:spacing w:line="360" w:lineRule="auto"/>
        <w:ind w:firstLine="480" w:firstLineChars="200"/>
        <w:rPr>
          <w:rFonts w:ascii="宋体" w:hAnsi="宋体"/>
          <w:b/>
          <w:bCs/>
          <w:color w:val="auto"/>
          <w:sz w:val="24"/>
          <w:highlight w:val="none"/>
        </w:rPr>
      </w:pPr>
      <w:r>
        <w:rPr>
          <w:rFonts w:hint="eastAsia" w:ascii="宋体" w:hAnsi="宋体"/>
          <w:color w:val="auto"/>
          <w:sz w:val="24"/>
          <w:highlight w:val="none"/>
        </w:rPr>
        <w:t>（1）每天送货一次，应急配送的在收到通知后应及时响应，</w:t>
      </w:r>
      <w:r>
        <w:rPr>
          <w:rFonts w:hint="eastAsia" w:ascii="宋体" w:hAnsi="宋体"/>
          <w:b/>
          <w:bCs/>
          <w:color w:val="auto"/>
          <w:sz w:val="24"/>
          <w:highlight w:val="none"/>
        </w:rPr>
        <w:t>如不能及时响应采购人需求的，则采购人可选择自行采购。</w:t>
      </w:r>
    </w:p>
    <w:p w14:paraId="1B22291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成交供应商</w:t>
      </w:r>
      <w:r>
        <w:rPr>
          <w:rFonts w:hint="eastAsia" w:ascii="宋体" w:hAnsi="宋体"/>
          <w:color w:val="auto"/>
          <w:sz w:val="24"/>
          <w:highlight w:val="none"/>
        </w:rPr>
        <w:t>必须仔细核对采购清单，确保食堂所需的食品原材料品种、规格、品牌、数量、质量等准确无误，并在规定时间内及时送达。</w:t>
      </w:r>
      <w:r>
        <w:rPr>
          <w:rFonts w:hint="eastAsia" w:ascii="宋体" w:hAnsi="宋体"/>
          <w:color w:val="auto"/>
          <w:sz w:val="24"/>
          <w:highlight w:val="none"/>
          <w:lang w:eastAsia="zh-CN"/>
        </w:rPr>
        <w:t>成交供应商</w:t>
      </w:r>
      <w:r>
        <w:rPr>
          <w:rFonts w:hint="eastAsia" w:ascii="宋体" w:hAnsi="宋体"/>
          <w:color w:val="auto"/>
          <w:sz w:val="24"/>
          <w:highlight w:val="none"/>
        </w:rPr>
        <w:t>向采购人提供商品的品牌、规格必须与合同规定一致，严禁擅自更换商品品牌、规格。</w:t>
      </w:r>
    </w:p>
    <w:p w14:paraId="5401982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7.其他要求</w:t>
      </w:r>
    </w:p>
    <w:p w14:paraId="0BC023B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（1）禽类需经过粗加工后方可配送。</w:t>
      </w:r>
    </w:p>
    <w:p w14:paraId="265AA91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（2）活鱼需至采购人单位现场宰杀。</w:t>
      </w:r>
    </w:p>
    <w:p w14:paraId="6784C48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（3）蔬菜需粗加工（去泥、去黄叶、去根茎）。</w:t>
      </w:r>
    </w:p>
    <w:p w14:paraId="45AD2EF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（4）活禽粗加工后按35%损耗计算，冷冻类不计损耗。</w:t>
      </w:r>
    </w:p>
    <w:p w14:paraId="7B38F3C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（5）需根据采购人要求另行签订保密协议。</w:t>
      </w:r>
    </w:p>
    <w:p w14:paraId="4E0D6D8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8.供应商须为本项目配置自有或租赁的仓储场地和冷库（含冷藏）场所，主要用于食材、物资的储存、周转和管理，其功能直接关系到食材新鲜度、供应稳定性及运营效率。</w:t>
      </w:r>
    </w:p>
    <w:p w14:paraId="168425A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olor w:val="auto"/>
          <w:sz w:val="24"/>
          <w:highlight w:val="none"/>
        </w:rPr>
        <w:t>9.供应商须为本项目配置与</w:t>
      </w:r>
      <w:r>
        <w:rPr>
          <w:rFonts w:hint="eastAsia" w:ascii="宋体" w:hAnsi="宋体"/>
          <w:color w:val="auto"/>
          <w:sz w:val="24"/>
          <w:highlight w:val="none"/>
          <w:lang w:val="zh-CN"/>
        </w:rPr>
        <w:t>食品相关检测设备或仪器，</w:t>
      </w:r>
      <w:r>
        <w:rPr>
          <w:rFonts w:ascii="宋体" w:hAnsi="宋体" w:cs="宋体"/>
          <w:color w:val="auto"/>
          <w:sz w:val="24"/>
          <w:highlight w:val="none"/>
        </w:rPr>
        <w:t>设备需满足对配送食材（如蔬菜、肉类、水产等）的安全检测需求</w:t>
      </w:r>
      <w:r>
        <w:rPr>
          <w:rFonts w:hint="eastAsia" w:ascii="宋体" w:hAnsi="宋体" w:cs="宋体"/>
          <w:color w:val="auto"/>
          <w:sz w:val="24"/>
          <w:highlight w:val="none"/>
        </w:rPr>
        <w:t>。项目组至少配备</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名具有食品安全管理、检验等相关职业技能证书的人员</w:t>
      </w:r>
      <w:r>
        <w:rPr>
          <w:rFonts w:hint="eastAsia" w:ascii="宋体" w:hAnsi="宋体" w:cs="宋体"/>
          <w:color w:val="auto"/>
          <w:sz w:val="24"/>
          <w:highlight w:val="none"/>
          <w:lang w:eastAsia="zh-CN"/>
        </w:rPr>
        <w:t>。</w:t>
      </w:r>
    </w:p>
    <w:p w14:paraId="22907F6C">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10</w:t>
      </w:r>
      <w:r>
        <w:rPr>
          <w:rFonts w:hint="eastAsia" w:ascii="宋体" w:hAnsi="宋体"/>
          <w:color w:val="auto"/>
          <w:sz w:val="24"/>
          <w:highlight w:val="none"/>
        </w:rPr>
        <w:t>.服务人的使用方式：</w:t>
      </w:r>
    </w:p>
    <w:p w14:paraId="20E6D20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如供应商履约服务质量不符合采购人要求，采购人有权重新组织采购选择服务供应商。服务供应商在合同履约期间，如出现不及时履行合同等情况，影响采购人工作进度，采购人将</w:t>
      </w:r>
      <w:r>
        <w:rPr>
          <w:rFonts w:ascii="宋体" w:hAnsi="宋体" w:cs="宋体"/>
          <w:color w:val="auto"/>
          <w:sz w:val="24"/>
          <w:highlight w:val="none"/>
        </w:rPr>
        <w:t>依据《民法典》及合同约定处理，</w:t>
      </w:r>
      <w:r>
        <w:rPr>
          <w:rFonts w:hint="eastAsia" w:ascii="宋体" w:hAnsi="宋体" w:cs="宋体"/>
          <w:color w:val="auto"/>
          <w:sz w:val="24"/>
          <w:highlight w:val="none"/>
        </w:rPr>
        <w:t>包括但不限于</w:t>
      </w:r>
      <w:r>
        <w:rPr>
          <w:rFonts w:ascii="宋体" w:hAnsi="宋体" w:cs="宋体"/>
          <w:color w:val="auto"/>
          <w:sz w:val="24"/>
          <w:highlight w:val="none"/>
        </w:rPr>
        <w:t>追究违约责任、解除合同、索赔</w:t>
      </w:r>
      <w:r>
        <w:rPr>
          <w:rFonts w:hint="eastAsia" w:ascii="宋体" w:hAnsi="宋体" w:cs="宋体"/>
          <w:color w:val="auto"/>
          <w:sz w:val="24"/>
          <w:highlight w:val="none"/>
        </w:rPr>
        <w:t>。</w:t>
      </w:r>
    </w:p>
    <w:p w14:paraId="4A5C782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.签约要求</w:t>
      </w:r>
    </w:p>
    <w:p w14:paraId="575D5DC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采购人与本次采购选择的</w:t>
      </w:r>
      <w:r>
        <w:rPr>
          <w:rFonts w:hint="eastAsia" w:ascii="宋体" w:hAnsi="宋体"/>
          <w:color w:val="auto"/>
          <w:sz w:val="24"/>
          <w:highlight w:val="none"/>
          <w:lang w:eastAsia="zh-CN"/>
        </w:rPr>
        <w:t>成交供应商</w:t>
      </w:r>
      <w:r>
        <w:rPr>
          <w:rFonts w:hint="eastAsia" w:ascii="宋体" w:hAnsi="宋体"/>
          <w:color w:val="auto"/>
          <w:sz w:val="24"/>
          <w:highlight w:val="none"/>
        </w:rPr>
        <w:t>签订配送合同。对于</w:t>
      </w:r>
      <w:r>
        <w:rPr>
          <w:rFonts w:hint="eastAsia" w:ascii="宋体" w:hAnsi="宋体"/>
          <w:color w:val="auto"/>
          <w:sz w:val="24"/>
          <w:highlight w:val="none"/>
          <w:lang w:eastAsia="zh-CN"/>
        </w:rPr>
        <w:t>成交供应商</w:t>
      </w:r>
      <w:r>
        <w:rPr>
          <w:rFonts w:hint="eastAsia" w:ascii="宋体" w:hAnsi="宋体"/>
          <w:color w:val="auto"/>
          <w:sz w:val="24"/>
          <w:highlight w:val="none"/>
        </w:rPr>
        <w:t>由采购人负责安排其配送点，每季度进行考核，并根据考核情况进行调整。采购人有权保留自行采购的权利。</w:t>
      </w:r>
    </w:p>
    <w:p w14:paraId="4F190FA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w:t>
      </w:r>
      <w:r>
        <w:rPr>
          <w:rFonts w:hint="eastAsia" w:ascii="宋体" w:hAnsi="宋体"/>
          <w:color w:val="auto"/>
          <w:sz w:val="24"/>
          <w:highlight w:val="none"/>
        </w:rPr>
        <w:t>.考核管理</w:t>
      </w:r>
    </w:p>
    <w:p w14:paraId="2924CB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（1）经考核有下列情形之一者采购人有权立即终止</w:t>
      </w:r>
      <w:r>
        <w:rPr>
          <w:rFonts w:hint="eastAsia" w:ascii="宋体" w:hAnsi="宋体"/>
          <w:color w:val="auto"/>
          <w:sz w:val="24"/>
          <w:highlight w:val="none"/>
          <w:lang w:eastAsia="zh-CN"/>
        </w:rPr>
        <w:t>成交供应商</w:t>
      </w:r>
      <w:r>
        <w:rPr>
          <w:rFonts w:hint="eastAsia" w:ascii="宋体" w:hAnsi="宋体"/>
          <w:color w:val="auto"/>
          <w:sz w:val="24"/>
          <w:highlight w:val="none"/>
        </w:rPr>
        <w:t>的配送工作，并终止与之签订的食堂配送协议：</w:t>
      </w:r>
    </w:p>
    <w:p w14:paraId="5737134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①原材料问题引起的食物中毒等食源性疾病的发生；</w:t>
      </w:r>
    </w:p>
    <w:p w14:paraId="708F469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②配送的不满意率达到15%以上；</w:t>
      </w:r>
    </w:p>
    <w:p w14:paraId="7B4EF5E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③被政府监管部门查到故意销售假冒伪劣商品；</w:t>
      </w:r>
    </w:p>
    <w:p w14:paraId="64D5C0C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④经查实，将部分配送工作分包或转包给他人或其他单位。</w:t>
      </w:r>
    </w:p>
    <w:p w14:paraId="5A5AD64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（2）采购人有权随机抽检配送的食材，并送至检测部门检测，如检测不合格，采购人有权作出处罚，情节严重的，可取消其配送资格。</w:t>
      </w: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
        <w:gridCol w:w="539"/>
        <w:gridCol w:w="697"/>
        <w:gridCol w:w="648"/>
        <w:gridCol w:w="1878"/>
        <w:gridCol w:w="3698"/>
        <w:gridCol w:w="535"/>
      </w:tblGrid>
      <w:tr w14:paraId="0AE9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15" w:type="pct"/>
            <w:gridSpan w:val="5"/>
            <w:tcBorders>
              <w:top w:val="nil"/>
              <w:left w:val="nil"/>
              <w:bottom w:val="nil"/>
              <w:right w:val="nil"/>
            </w:tcBorders>
            <w:vAlign w:val="center"/>
          </w:tcPr>
          <w:p w14:paraId="40CFBFA0">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被考核单位：</w:t>
            </w:r>
          </w:p>
        </w:tc>
        <w:tc>
          <w:tcPr>
            <w:tcW w:w="2484" w:type="pct"/>
            <w:gridSpan w:val="2"/>
            <w:tcBorders>
              <w:top w:val="nil"/>
              <w:left w:val="nil"/>
              <w:bottom w:val="nil"/>
              <w:right w:val="nil"/>
            </w:tcBorders>
            <w:vAlign w:val="center"/>
          </w:tcPr>
          <w:p w14:paraId="6437AC6A">
            <w:pPr>
              <w:keepNext w:val="0"/>
              <w:keepLines w:val="0"/>
              <w:pageBreakBefore w:val="0"/>
              <w:kinsoku/>
              <w:wordWrap/>
              <w:overflowPunct/>
              <w:topLinePunct w:val="0"/>
              <w:autoSpaceDE/>
              <w:autoSpaceDN/>
              <w:bidi w:val="0"/>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r w14:paraId="3A3E3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tcBorders>
              <w:top w:val="single" w:color="auto" w:sz="4" w:space="0"/>
              <w:left w:val="single" w:color="auto" w:sz="4" w:space="0"/>
              <w:bottom w:val="single" w:color="auto" w:sz="4" w:space="0"/>
              <w:right w:val="single" w:color="auto" w:sz="4" w:space="0"/>
            </w:tcBorders>
            <w:vAlign w:val="center"/>
          </w:tcPr>
          <w:p w14:paraId="1E0011E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一级指标</w:t>
            </w:r>
          </w:p>
        </w:tc>
        <w:tc>
          <w:tcPr>
            <w:tcW w:w="316" w:type="pct"/>
            <w:tcBorders>
              <w:top w:val="single" w:color="auto" w:sz="4" w:space="0"/>
              <w:left w:val="single" w:color="auto" w:sz="4" w:space="0"/>
              <w:bottom w:val="single" w:color="auto" w:sz="4" w:space="0"/>
              <w:right w:val="single" w:color="auto" w:sz="4" w:space="0"/>
            </w:tcBorders>
            <w:vAlign w:val="center"/>
          </w:tcPr>
          <w:p w14:paraId="0F4ABA6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09" w:type="pct"/>
            <w:tcBorders>
              <w:top w:val="single" w:color="auto" w:sz="4" w:space="0"/>
              <w:left w:val="single" w:color="auto" w:sz="4" w:space="0"/>
              <w:bottom w:val="single" w:color="auto" w:sz="4" w:space="0"/>
              <w:right w:val="single" w:color="auto" w:sz="4" w:space="0"/>
            </w:tcBorders>
            <w:vAlign w:val="center"/>
          </w:tcPr>
          <w:p w14:paraId="4D60B5E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二级指标</w:t>
            </w:r>
          </w:p>
        </w:tc>
        <w:tc>
          <w:tcPr>
            <w:tcW w:w="379" w:type="pct"/>
            <w:tcBorders>
              <w:top w:val="single" w:color="auto" w:sz="4" w:space="0"/>
              <w:left w:val="single" w:color="auto" w:sz="4" w:space="0"/>
              <w:bottom w:val="single" w:color="auto" w:sz="4" w:space="0"/>
              <w:right w:val="single" w:color="auto" w:sz="4" w:space="0"/>
            </w:tcBorders>
            <w:vAlign w:val="center"/>
          </w:tcPr>
          <w:p w14:paraId="0B8629CB">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6787456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考核要素和评估内容及其标准</w:t>
            </w:r>
          </w:p>
        </w:tc>
        <w:tc>
          <w:tcPr>
            <w:tcW w:w="313" w:type="pct"/>
            <w:tcBorders>
              <w:top w:val="single" w:color="auto" w:sz="4" w:space="0"/>
              <w:left w:val="single" w:color="auto" w:sz="4" w:space="0"/>
              <w:bottom w:val="single" w:color="auto" w:sz="4" w:space="0"/>
              <w:right w:val="single" w:color="auto" w:sz="4" w:space="0"/>
            </w:tcBorders>
            <w:vAlign w:val="center"/>
          </w:tcPr>
          <w:p w14:paraId="54108D1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考核评分</w:t>
            </w:r>
          </w:p>
        </w:tc>
      </w:tr>
      <w:tr w14:paraId="1ECA2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restart"/>
            <w:tcBorders>
              <w:top w:val="single" w:color="auto" w:sz="4" w:space="0"/>
              <w:left w:val="single" w:color="auto" w:sz="4" w:space="0"/>
              <w:bottom w:val="single" w:color="auto" w:sz="4" w:space="0"/>
              <w:right w:val="single" w:color="auto" w:sz="4" w:space="0"/>
            </w:tcBorders>
            <w:vAlign w:val="center"/>
          </w:tcPr>
          <w:p w14:paraId="608B635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w:t>
            </w:r>
          </w:p>
          <w:p w14:paraId="4530534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程</w:t>
            </w:r>
          </w:p>
          <w:p w14:paraId="776CFFB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w:t>
            </w:r>
          </w:p>
          <w:p w14:paraId="626A49B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理</w:t>
            </w:r>
          </w:p>
        </w:tc>
        <w:tc>
          <w:tcPr>
            <w:tcW w:w="316" w:type="pct"/>
            <w:vMerge w:val="restart"/>
            <w:tcBorders>
              <w:top w:val="single" w:color="auto" w:sz="4" w:space="0"/>
              <w:left w:val="single" w:color="auto" w:sz="4" w:space="0"/>
              <w:bottom w:val="single" w:color="auto" w:sz="4" w:space="0"/>
              <w:right w:val="single" w:color="auto" w:sz="4" w:space="0"/>
            </w:tcBorders>
            <w:vAlign w:val="center"/>
          </w:tcPr>
          <w:p w14:paraId="51858B8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409" w:type="pct"/>
            <w:tcBorders>
              <w:top w:val="single" w:color="auto" w:sz="4" w:space="0"/>
              <w:left w:val="single" w:color="auto" w:sz="4" w:space="0"/>
              <w:bottom w:val="single" w:color="auto" w:sz="4" w:space="0"/>
              <w:right w:val="single" w:color="auto" w:sz="4" w:space="0"/>
            </w:tcBorders>
            <w:vAlign w:val="center"/>
          </w:tcPr>
          <w:p w14:paraId="67E2529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准时送货</w:t>
            </w:r>
          </w:p>
        </w:tc>
        <w:tc>
          <w:tcPr>
            <w:tcW w:w="379" w:type="pct"/>
            <w:tcBorders>
              <w:top w:val="single" w:color="auto" w:sz="4" w:space="0"/>
              <w:left w:val="single" w:color="auto" w:sz="4" w:space="0"/>
              <w:bottom w:val="single" w:color="auto" w:sz="4" w:space="0"/>
              <w:right w:val="single" w:color="auto" w:sz="4" w:space="0"/>
            </w:tcBorders>
            <w:vAlign w:val="center"/>
          </w:tcPr>
          <w:p w14:paraId="7F06F27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50696B8B">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送货准时，每天所需食材一并送达（水产除外）6分（非不可抗拒情况下延误一次扣3分，以此类推，扣完为止。发现委托其他人或其他车代送不得分）。</w:t>
            </w:r>
          </w:p>
        </w:tc>
        <w:tc>
          <w:tcPr>
            <w:tcW w:w="313" w:type="pct"/>
            <w:tcBorders>
              <w:top w:val="single" w:color="auto" w:sz="4" w:space="0"/>
              <w:left w:val="single" w:color="auto" w:sz="4" w:space="0"/>
              <w:bottom w:val="single" w:color="auto" w:sz="4" w:space="0"/>
              <w:right w:val="single" w:color="auto" w:sz="4" w:space="0"/>
            </w:tcBorders>
            <w:vAlign w:val="center"/>
          </w:tcPr>
          <w:p w14:paraId="6814EBE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03145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416D7B5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2A40AA2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1B01275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食材质量</w:t>
            </w:r>
          </w:p>
        </w:tc>
        <w:tc>
          <w:tcPr>
            <w:tcW w:w="379" w:type="pct"/>
            <w:tcBorders>
              <w:top w:val="single" w:color="auto" w:sz="4" w:space="0"/>
              <w:left w:val="single" w:color="auto" w:sz="4" w:space="0"/>
              <w:bottom w:val="single" w:color="auto" w:sz="4" w:space="0"/>
              <w:right w:val="single" w:color="auto" w:sz="4" w:space="0"/>
            </w:tcBorders>
            <w:vAlign w:val="center"/>
          </w:tcPr>
          <w:p w14:paraId="0DA6CE0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7466A2B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送货无质量问题得14分（份量短缺达到该类食材配送总量5%以上、或材质有问题，有一次扣3分，以此类推，扣完为止）。</w:t>
            </w:r>
          </w:p>
        </w:tc>
        <w:tc>
          <w:tcPr>
            <w:tcW w:w="313" w:type="pct"/>
            <w:tcBorders>
              <w:top w:val="single" w:color="auto" w:sz="4" w:space="0"/>
              <w:left w:val="single" w:color="auto" w:sz="4" w:space="0"/>
              <w:bottom w:val="single" w:color="auto" w:sz="4" w:space="0"/>
              <w:right w:val="single" w:color="auto" w:sz="4" w:space="0"/>
            </w:tcBorders>
            <w:vAlign w:val="center"/>
          </w:tcPr>
          <w:p w14:paraId="4B78642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01E9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2C93FD6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7E98C63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609C097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服务态度</w:t>
            </w:r>
          </w:p>
        </w:tc>
        <w:tc>
          <w:tcPr>
            <w:tcW w:w="379" w:type="pct"/>
            <w:tcBorders>
              <w:top w:val="single" w:color="auto" w:sz="4" w:space="0"/>
              <w:left w:val="single" w:color="auto" w:sz="4" w:space="0"/>
              <w:bottom w:val="single" w:color="auto" w:sz="4" w:space="0"/>
              <w:right w:val="single" w:color="auto" w:sz="4" w:space="0"/>
            </w:tcBorders>
            <w:vAlign w:val="center"/>
          </w:tcPr>
          <w:p w14:paraId="618FD69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526B7BE8">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工作人员工作认真，服务热情周到，运送搬装文明4分（运送人员野蛮运装或无正当理由与食堂人员争执、或服务不到位，一次扣2分，调换送货员每月2次（不含2次）以上，有一次扣1分，扣完为止）。</w:t>
            </w:r>
          </w:p>
        </w:tc>
        <w:tc>
          <w:tcPr>
            <w:tcW w:w="313" w:type="pct"/>
            <w:tcBorders>
              <w:top w:val="single" w:color="auto" w:sz="4" w:space="0"/>
              <w:left w:val="single" w:color="auto" w:sz="4" w:space="0"/>
              <w:bottom w:val="single" w:color="auto" w:sz="4" w:space="0"/>
              <w:right w:val="single" w:color="auto" w:sz="4" w:space="0"/>
            </w:tcBorders>
            <w:vAlign w:val="center"/>
          </w:tcPr>
          <w:p w14:paraId="1F9520A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4D29B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641D32F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2FB3405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19E8FB3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工作细致</w:t>
            </w:r>
          </w:p>
        </w:tc>
        <w:tc>
          <w:tcPr>
            <w:tcW w:w="379" w:type="pct"/>
            <w:tcBorders>
              <w:top w:val="single" w:color="auto" w:sz="4" w:space="0"/>
              <w:left w:val="single" w:color="auto" w:sz="4" w:space="0"/>
              <w:bottom w:val="single" w:color="auto" w:sz="4" w:space="0"/>
              <w:right w:val="single" w:color="auto" w:sz="4" w:space="0"/>
            </w:tcBorders>
            <w:vAlign w:val="center"/>
          </w:tcPr>
          <w:p w14:paraId="3E79BE5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26E8DE74">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配送物品清单与实际配送无差错4分（误差一次扣2分，以此类推，扣完为止）。</w:t>
            </w:r>
          </w:p>
        </w:tc>
        <w:tc>
          <w:tcPr>
            <w:tcW w:w="313" w:type="pct"/>
            <w:tcBorders>
              <w:top w:val="single" w:color="auto" w:sz="4" w:space="0"/>
              <w:left w:val="single" w:color="auto" w:sz="4" w:space="0"/>
              <w:bottom w:val="single" w:color="auto" w:sz="4" w:space="0"/>
              <w:right w:val="single" w:color="auto" w:sz="4" w:space="0"/>
            </w:tcBorders>
            <w:vAlign w:val="center"/>
          </w:tcPr>
          <w:p w14:paraId="2FA0CD5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587B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5CC29A7C">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7DF8894E">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1E9BF7F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单据清晰</w:t>
            </w:r>
          </w:p>
        </w:tc>
        <w:tc>
          <w:tcPr>
            <w:tcW w:w="379" w:type="pct"/>
            <w:tcBorders>
              <w:top w:val="single" w:color="auto" w:sz="4" w:space="0"/>
              <w:left w:val="single" w:color="auto" w:sz="4" w:space="0"/>
              <w:bottom w:val="single" w:color="auto" w:sz="4" w:space="0"/>
              <w:right w:val="single" w:color="auto" w:sz="4" w:space="0"/>
            </w:tcBorders>
            <w:vAlign w:val="center"/>
          </w:tcPr>
          <w:p w14:paraId="789384F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31467765">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送货单（结算凭证）项目齐全，机器打印清晰2分，否则不得分。</w:t>
            </w:r>
          </w:p>
        </w:tc>
        <w:tc>
          <w:tcPr>
            <w:tcW w:w="313" w:type="pct"/>
            <w:tcBorders>
              <w:top w:val="single" w:color="auto" w:sz="4" w:space="0"/>
              <w:left w:val="single" w:color="auto" w:sz="4" w:space="0"/>
              <w:bottom w:val="single" w:color="auto" w:sz="4" w:space="0"/>
              <w:right w:val="single" w:color="auto" w:sz="4" w:space="0"/>
            </w:tcBorders>
            <w:vAlign w:val="center"/>
          </w:tcPr>
          <w:p w14:paraId="68CC442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1ABA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tcBorders>
              <w:top w:val="single" w:color="auto" w:sz="4" w:space="0"/>
              <w:left w:val="single" w:color="auto" w:sz="4" w:space="0"/>
              <w:bottom w:val="single" w:color="auto" w:sz="4" w:space="0"/>
              <w:right w:val="single" w:color="auto" w:sz="4" w:space="0"/>
            </w:tcBorders>
            <w:vAlign w:val="center"/>
          </w:tcPr>
          <w:p w14:paraId="3BD46D4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w:t>
            </w:r>
          </w:p>
          <w:p w14:paraId="2A6F261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量</w:t>
            </w:r>
          </w:p>
          <w:p w14:paraId="2ACD4B4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w:t>
            </w:r>
          </w:p>
          <w:p w14:paraId="17EC3C0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理</w:t>
            </w:r>
          </w:p>
        </w:tc>
        <w:tc>
          <w:tcPr>
            <w:tcW w:w="316" w:type="pct"/>
            <w:tcBorders>
              <w:top w:val="single" w:color="auto" w:sz="4" w:space="0"/>
              <w:left w:val="single" w:color="auto" w:sz="4" w:space="0"/>
              <w:bottom w:val="single" w:color="auto" w:sz="4" w:space="0"/>
              <w:right w:val="single" w:color="auto" w:sz="4" w:space="0"/>
            </w:tcBorders>
            <w:vAlign w:val="center"/>
          </w:tcPr>
          <w:p w14:paraId="58C06F3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50分</w:t>
            </w:r>
          </w:p>
        </w:tc>
        <w:tc>
          <w:tcPr>
            <w:tcW w:w="409" w:type="pct"/>
            <w:tcBorders>
              <w:top w:val="single" w:color="auto" w:sz="4" w:space="0"/>
              <w:left w:val="single" w:color="auto" w:sz="4" w:space="0"/>
              <w:bottom w:val="single" w:color="auto" w:sz="4" w:space="0"/>
              <w:right w:val="single" w:color="auto" w:sz="4" w:space="0"/>
            </w:tcBorders>
            <w:vAlign w:val="center"/>
          </w:tcPr>
          <w:p w14:paraId="4FD7B4C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食材月度综合评分汇总</w:t>
            </w:r>
          </w:p>
        </w:tc>
        <w:tc>
          <w:tcPr>
            <w:tcW w:w="379" w:type="pct"/>
            <w:tcBorders>
              <w:top w:val="single" w:color="auto" w:sz="4" w:space="0"/>
              <w:left w:val="single" w:color="auto" w:sz="4" w:space="0"/>
              <w:bottom w:val="single" w:color="auto" w:sz="4" w:space="0"/>
              <w:right w:val="single" w:color="auto" w:sz="4" w:space="0"/>
            </w:tcBorders>
            <w:vAlign w:val="center"/>
          </w:tcPr>
          <w:p w14:paraId="1065A78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1CD9ED9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每天对中标供应商提供的食材质量进行验收50分（验收时按分类食材验收标准每日打分，由每日得分汇总得出月度分）。月度发生一次不达标扣10分，发生三次，采购人有权终止合同。</w:t>
            </w:r>
          </w:p>
        </w:tc>
        <w:tc>
          <w:tcPr>
            <w:tcW w:w="313" w:type="pct"/>
            <w:tcBorders>
              <w:top w:val="single" w:color="auto" w:sz="4" w:space="0"/>
              <w:left w:val="single" w:color="auto" w:sz="4" w:space="0"/>
              <w:bottom w:val="single" w:color="auto" w:sz="4" w:space="0"/>
              <w:right w:val="single" w:color="auto" w:sz="4" w:space="0"/>
            </w:tcBorders>
            <w:vAlign w:val="center"/>
          </w:tcPr>
          <w:p w14:paraId="074F7BA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201A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308" w:type="pct"/>
            <w:vMerge w:val="restart"/>
            <w:tcBorders>
              <w:top w:val="single" w:color="auto" w:sz="4" w:space="0"/>
              <w:left w:val="single" w:color="auto" w:sz="4" w:space="0"/>
              <w:bottom w:val="single" w:color="auto" w:sz="4" w:space="0"/>
              <w:right w:val="single" w:color="auto" w:sz="4" w:space="0"/>
            </w:tcBorders>
            <w:vAlign w:val="center"/>
          </w:tcPr>
          <w:p w14:paraId="780CF85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w:t>
            </w:r>
          </w:p>
          <w:p w14:paraId="1DD7E34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w:t>
            </w:r>
          </w:p>
          <w:p w14:paraId="6663955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w:t>
            </w:r>
          </w:p>
          <w:p w14:paraId="5D337B1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理</w:t>
            </w:r>
          </w:p>
        </w:tc>
        <w:tc>
          <w:tcPr>
            <w:tcW w:w="316" w:type="pct"/>
            <w:vMerge w:val="restart"/>
            <w:tcBorders>
              <w:top w:val="single" w:color="auto" w:sz="4" w:space="0"/>
              <w:left w:val="single" w:color="auto" w:sz="4" w:space="0"/>
              <w:bottom w:val="single" w:color="auto" w:sz="4" w:space="0"/>
              <w:right w:val="single" w:color="auto" w:sz="4" w:space="0"/>
            </w:tcBorders>
            <w:vAlign w:val="center"/>
          </w:tcPr>
          <w:p w14:paraId="40BBDF65">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c>
          <w:tcPr>
            <w:tcW w:w="409" w:type="pct"/>
            <w:tcBorders>
              <w:top w:val="single" w:color="auto" w:sz="4" w:space="0"/>
              <w:left w:val="single" w:color="auto" w:sz="4" w:space="0"/>
              <w:right w:val="single" w:color="auto" w:sz="4" w:space="0"/>
            </w:tcBorders>
            <w:vAlign w:val="center"/>
          </w:tcPr>
          <w:p w14:paraId="782D302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p w14:paraId="2CBD0141">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结算精准</w:t>
            </w:r>
          </w:p>
        </w:tc>
        <w:tc>
          <w:tcPr>
            <w:tcW w:w="379" w:type="pct"/>
            <w:tcBorders>
              <w:top w:val="single" w:color="auto" w:sz="4" w:space="0"/>
              <w:left w:val="single" w:color="auto" w:sz="4" w:space="0"/>
              <w:right w:val="single" w:color="auto" w:sz="4" w:space="0"/>
            </w:tcBorders>
            <w:vAlign w:val="center"/>
          </w:tcPr>
          <w:p w14:paraId="382AA4D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p w14:paraId="258A7A1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3272" w:type="pct"/>
            <w:gridSpan w:val="2"/>
            <w:tcBorders>
              <w:top w:val="single" w:color="auto" w:sz="4" w:space="0"/>
              <w:left w:val="single" w:color="auto" w:sz="4" w:space="0"/>
              <w:right w:val="single" w:color="auto" w:sz="4" w:space="0"/>
            </w:tcBorders>
            <w:vAlign w:val="center"/>
          </w:tcPr>
          <w:p w14:paraId="6141961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送货单上单价、月底结算价格与网上发布价一致（与网上公布价有误差，每次扣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分，以此类推，扣完为止）。对上家供应商：每月结清，不拖欠（结算不及时或延时付款，该项目不得分）。</w:t>
            </w:r>
          </w:p>
        </w:tc>
        <w:tc>
          <w:tcPr>
            <w:tcW w:w="313" w:type="pct"/>
            <w:tcBorders>
              <w:top w:val="single" w:color="auto" w:sz="4" w:space="0"/>
              <w:left w:val="single" w:color="auto" w:sz="4" w:space="0"/>
              <w:bottom w:val="single" w:color="auto" w:sz="4" w:space="0"/>
              <w:right w:val="single" w:color="auto" w:sz="4" w:space="0"/>
            </w:tcBorders>
            <w:vAlign w:val="center"/>
          </w:tcPr>
          <w:p w14:paraId="29EA0DFC">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0294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5C0A887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2F1D7D1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10004C6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联系制度</w:t>
            </w:r>
          </w:p>
        </w:tc>
        <w:tc>
          <w:tcPr>
            <w:tcW w:w="379" w:type="pct"/>
            <w:tcBorders>
              <w:top w:val="single" w:color="auto" w:sz="4" w:space="0"/>
              <w:left w:val="single" w:color="auto" w:sz="4" w:space="0"/>
              <w:bottom w:val="single" w:color="auto" w:sz="4" w:space="0"/>
              <w:right w:val="single" w:color="auto" w:sz="4" w:space="0"/>
            </w:tcBorders>
            <w:vAlign w:val="center"/>
          </w:tcPr>
          <w:p w14:paraId="738F98E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5FE99F4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如网上没有采购人所需商品名录，事先与采购人联系并谈妥商品的品牌、品级、规格、价格等事项，然后发货4分。（中标供应商单方定价后再送货不得分）。</w:t>
            </w:r>
          </w:p>
        </w:tc>
        <w:tc>
          <w:tcPr>
            <w:tcW w:w="313" w:type="pct"/>
            <w:tcBorders>
              <w:top w:val="single" w:color="auto" w:sz="4" w:space="0"/>
              <w:left w:val="single" w:color="auto" w:sz="4" w:space="0"/>
              <w:bottom w:val="single" w:color="auto" w:sz="4" w:space="0"/>
              <w:right w:val="single" w:color="auto" w:sz="4" w:space="0"/>
            </w:tcBorders>
            <w:vAlign w:val="center"/>
          </w:tcPr>
          <w:p w14:paraId="12EB54B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3529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0A1D9957">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389794E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102C62D7">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及时整改</w:t>
            </w:r>
          </w:p>
        </w:tc>
        <w:tc>
          <w:tcPr>
            <w:tcW w:w="379" w:type="pct"/>
            <w:tcBorders>
              <w:top w:val="single" w:color="auto" w:sz="4" w:space="0"/>
              <w:left w:val="single" w:color="auto" w:sz="4" w:space="0"/>
              <w:bottom w:val="single" w:color="auto" w:sz="4" w:space="0"/>
              <w:right w:val="single" w:color="auto" w:sz="4" w:space="0"/>
            </w:tcBorders>
            <w:vAlign w:val="center"/>
          </w:tcPr>
          <w:p w14:paraId="29003CD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6E5827D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对食堂的意见、建议虚心接受，运作过程中出现的新情况新问题及时主动沟通、协调有效果，及时整改见实效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分（整改效果不明显扣1分，未见整改效果不得分）。</w:t>
            </w:r>
          </w:p>
        </w:tc>
        <w:tc>
          <w:tcPr>
            <w:tcW w:w="313" w:type="pct"/>
            <w:tcBorders>
              <w:top w:val="single" w:color="auto" w:sz="4" w:space="0"/>
              <w:left w:val="single" w:color="auto" w:sz="4" w:space="0"/>
              <w:bottom w:val="single" w:color="auto" w:sz="4" w:space="0"/>
              <w:right w:val="single" w:color="auto" w:sz="4" w:space="0"/>
            </w:tcBorders>
            <w:vAlign w:val="center"/>
          </w:tcPr>
          <w:p w14:paraId="0E4FD79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3048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6BBEE11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4711A78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54ED449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协调沟通</w:t>
            </w:r>
          </w:p>
        </w:tc>
        <w:tc>
          <w:tcPr>
            <w:tcW w:w="379" w:type="pct"/>
            <w:tcBorders>
              <w:top w:val="single" w:color="auto" w:sz="4" w:space="0"/>
              <w:left w:val="single" w:color="auto" w:sz="4" w:space="0"/>
              <w:bottom w:val="single" w:color="auto" w:sz="4" w:space="0"/>
              <w:right w:val="single" w:color="auto" w:sz="4" w:space="0"/>
            </w:tcBorders>
            <w:vAlign w:val="center"/>
          </w:tcPr>
          <w:p w14:paraId="0E3E7A4F">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5643688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每个月的月底，主动向采购人书面报告工作情况（主要内容为：食堂、上家供应商运作情况，工作上不和谐之事之因之果，以及意见或建议）得4分；不按时交不得分。</w:t>
            </w:r>
          </w:p>
        </w:tc>
        <w:tc>
          <w:tcPr>
            <w:tcW w:w="313" w:type="pct"/>
            <w:tcBorders>
              <w:top w:val="single" w:color="auto" w:sz="4" w:space="0"/>
              <w:left w:val="single" w:color="auto" w:sz="4" w:space="0"/>
              <w:bottom w:val="single" w:color="auto" w:sz="4" w:space="0"/>
              <w:right w:val="single" w:color="auto" w:sz="4" w:space="0"/>
            </w:tcBorders>
            <w:vAlign w:val="center"/>
          </w:tcPr>
          <w:p w14:paraId="6A92AD1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5746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tcBorders>
              <w:top w:val="single" w:color="auto" w:sz="4" w:space="0"/>
              <w:left w:val="single" w:color="auto" w:sz="4" w:space="0"/>
              <w:bottom w:val="single" w:color="auto" w:sz="4" w:space="0"/>
              <w:right w:val="single" w:color="auto" w:sz="4" w:space="0"/>
            </w:tcBorders>
            <w:vAlign w:val="center"/>
          </w:tcPr>
          <w:p w14:paraId="5D0D366C">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6" w:type="pct"/>
            <w:vMerge w:val="continue"/>
            <w:tcBorders>
              <w:top w:val="single" w:color="auto" w:sz="4" w:space="0"/>
              <w:left w:val="single" w:color="auto" w:sz="4" w:space="0"/>
              <w:bottom w:val="single" w:color="auto" w:sz="4" w:space="0"/>
              <w:right w:val="single" w:color="auto" w:sz="4" w:space="0"/>
            </w:tcBorders>
            <w:vAlign w:val="center"/>
          </w:tcPr>
          <w:p w14:paraId="23189BF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409" w:type="pct"/>
            <w:tcBorders>
              <w:top w:val="single" w:color="auto" w:sz="4" w:space="0"/>
              <w:left w:val="single" w:color="auto" w:sz="4" w:space="0"/>
              <w:bottom w:val="single" w:color="auto" w:sz="4" w:space="0"/>
              <w:right w:val="single" w:color="auto" w:sz="4" w:space="0"/>
            </w:tcBorders>
            <w:vAlign w:val="center"/>
          </w:tcPr>
          <w:p w14:paraId="225EC2A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应急服务</w:t>
            </w:r>
          </w:p>
        </w:tc>
        <w:tc>
          <w:tcPr>
            <w:tcW w:w="379" w:type="pct"/>
            <w:tcBorders>
              <w:top w:val="single" w:color="auto" w:sz="4" w:space="0"/>
              <w:left w:val="single" w:color="auto" w:sz="4" w:space="0"/>
              <w:bottom w:val="single" w:color="auto" w:sz="4" w:space="0"/>
              <w:right w:val="single" w:color="auto" w:sz="4" w:space="0"/>
            </w:tcBorders>
            <w:vAlign w:val="center"/>
          </w:tcPr>
          <w:p w14:paraId="68050DC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4105079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如发生应急采购响应时间在接到通知后</w:t>
            </w:r>
            <w:r>
              <w:rPr>
                <w:rFonts w:hint="eastAsia" w:ascii="宋体" w:hAnsi="宋体" w:eastAsia="宋体" w:cs="宋体"/>
                <w:color w:val="auto"/>
                <w:sz w:val="24"/>
                <w:szCs w:val="24"/>
                <w:highlight w:val="none"/>
                <w:lang w:val="en-US" w:eastAsia="zh-CN"/>
              </w:rPr>
              <w:t>未按配送保证时效</w:t>
            </w:r>
            <w:r>
              <w:rPr>
                <w:rFonts w:hint="eastAsia" w:ascii="宋体" w:hAnsi="宋体" w:eastAsia="宋体" w:cs="宋体"/>
                <w:color w:val="auto"/>
                <w:sz w:val="24"/>
                <w:szCs w:val="24"/>
                <w:highlight w:val="none"/>
              </w:rPr>
              <w:t>内送达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一次未达到要求扣1分，扣完为止</w:t>
            </w:r>
            <w:r>
              <w:rPr>
                <w:rFonts w:hint="eastAsia" w:ascii="宋体" w:hAnsi="宋体" w:eastAsia="宋体" w:cs="宋体"/>
                <w:color w:val="auto"/>
                <w:sz w:val="24"/>
                <w:szCs w:val="24"/>
                <w:highlight w:val="none"/>
              </w:rPr>
              <w:t>。</w:t>
            </w:r>
          </w:p>
        </w:tc>
        <w:tc>
          <w:tcPr>
            <w:tcW w:w="313" w:type="pct"/>
            <w:tcBorders>
              <w:top w:val="single" w:color="auto" w:sz="4" w:space="0"/>
              <w:left w:val="single" w:color="auto" w:sz="4" w:space="0"/>
              <w:bottom w:val="single" w:color="auto" w:sz="4" w:space="0"/>
              <w:right w:val="single" w:color="auto" w:sz="4" w:space="0"/>
            </w:tcBorders>
            <w:vAlign w:val="center"/>
          </w:tcPr>
          <w:p w14:paraId="43C075C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r w14:paraId="0BC1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3" w:type="pct"/>
            <w:gridSpan w:val="4"/>
            <w:tcBorders>
              <w:top w:val="single" w:color="auto" w:sz="4" w:space="0"/>
              <w:left w:val="single" w:color="auto" w:sz="4" w:space="0"/>
              <w:bottom w:val="single" w:color="auto" w:sz="4" w:space="0"/>
              <w:right w:val="single" w:color="auto" w:sz="4" w:space="0"/>
            </w:tcBorders>
            <w:vAlign w:val="center"/>
          </w:tcPr>
          <w:p w14:paraId="3D565486">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      分</w:t>
            </w:r>
          </w:p>
        </w:tc>
        <w:tc>
          <w:tcPr>
            <w:tcW w:w="3272" w:type="pct"/>
            <w:gridSpan w:val="2"/>
            <w:tcBorders>
              <w:top w:val="single" w:color="auto" w:sz="4" w:space="0"/>
              <w:left w:val="single" w:color="auto" w:sz="4" w:space="0"/>
              <w:bottom w:val="single" w:color="auto" w:sz="4" w:space="0"/>
              <w:right w:val="single" w:color="auto" w:sz="4" w:space="0"/>
            </w:tcBorders>
            <w:vAlign w:val="center"/>
          </w:tcPr>
          <w:p w14:paraId="0C05AB00">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p>
        </w:tc>
        <w:tc>
          <w:tcPr>
            <w:tcW w:w="313" w:type="pct"/>
            <w:tcBorders>
              <w:top w:val="single" w:color="auto" w:sz="4" w:space="0"/>
              <w:left w:val="single" w:color="auto" w:sz="4" w:space="0"/>
              <w:bottom w:val="single" w:color="auto" w:sz="4" w:space="0"/>
              <w:right w:val="single" w:color="auto" w:sz="4" w:space="0"/>
            </w:tcBorders>
            <w:vAlign w:val="center"/>
          </w:tcPr>
          <w:p w14:paraId="3262B352">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p>
        </w:tc>
      </w:tr>
    </w:tbl>
    <w:p w14:paraId="5613D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b w:val="0"/>
          <w:bCs w:val="0"/>
          <w:color w:val="auto"/>
          <w:sz w:val="24"/>
          <w:highlight w:val="none"/>
        </w:rPr>
        <w:t>★1</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供应商</w:t>
      </w:r>
      <w:r>
        <w:rPr>
          <w:rFonts w:hint="eastAsia" w:ascii="宋体" w:hAnsi="宋体"/>
          <w:b w:val="0"/>
          <w:bCs w:val="0"/>
          <w:color w:val="auto"/>
          <w:sz w:val="24"/>
          <w:highlight w:val="none"/>
        </w:rPr>
        <w:t>供货品类：</w:t>
      </w:r>
      <w:r>
        <w:rPr>
          <w:rFonts w:hint="eastAsia" w:ascii="宋体" w:hAnsi="宋体"/>
          <w:b w:val="0"/>
          <w:bCs w:val="0"/>
          <w:color w:val="auto"/>
          <w:sz w:val="24"/>
          <w:highlight w:val="none"/>
          <w:lang w:val="en-US" w:eastAsia="zh-CN"/>
        </w:rPr>
        <w:t>供应商</w:t>
      </w:r>
      <w:r>
        <w:rPr>
          <w:rFonts w:hint="eastAsia" w:ascii="宋体" w:hAnsi="宋体"/>
          <w:b w:val="0"/>
          <w:bCs w:val="0"/>
          <w:color w:val="auto"/>
          <w:sz w:val="24"/>
          <w:highlight w:val="none"/>
        </w:rPr>
        <w:t>应承诺满足采购需求所有配送品类的供应，以便在特殊情况下的紧急替代供货。</w:t>
      </w:r>
      <w:r>
        <w:rPr>
          <w:rFonts w:hint="eastAsia" w:ascii="宋体" w:hAnsi="宋体"/>
          <w:b/>
          <w:bCs/>
          <w:color w:val="auto"/>
          <w:sz w:val="24"/>
          <w:highlight w:val="none"/>
          <w:lang w:val="en-US" w:eastAsia="zh-CN"/>
        </w:rPr>
        <w:t>磋商响应</w:t>
      </w:r>
      <w:r>
        <w:rPr>
          <w:rFonts w:hint="eastAsia" w:ascii="宋体" w:hAnsi="宋体"/>
          <w:b/>
          <w:bCs/>
          <w:color w:val="auto"/>
          <w:sz w:val="24"/>
          <w:highlight w:val="none"/>
        </w:rPr>
        <w:t>文件中提供承诺函（格式自拟）并加盖供应商公章，否则做无效</w:t>
      </w:r>
      <w:r>
        <w:rPr>
          <w:rFonts w:hint="eastAsia" w:ascii="宋体" w:hAnsi="宋体"/>
          <w:b/>
          <w:bCs/>
          <w:color w:val="auto"/>
          <w:sz w:val="24"/>
          <w:highlight w:val="none"/>
          <w:lang w:val="en-US" w:eastAsia="zh-CN"/>
        </w:rPr>
        <w:t>响应</w:t>
      </w:r>
      <w:r>
        <w:rPr>
          <w:rFonts w:hint="eastAsia" w:ascii="宋体" w:hAnsi="宋体"/>
          <w:b/>
          <w:bCs/>
          <w:color w:val="auto"/>
          <w:sz w:val="24"/>
          <w:highlight w:val="none"/>
        </w:rPr>
        <w:t>处理。</w:t>
      </w:r>
    </w:p>
    <w:p w14:paraId="6DC2809C">
      <w:pPr>
        <w:pStyle w:val="307"/>
        <w:keepNext w:val="0"/>
        <w:keepLines w:val="0"/>
        <w:pageBreakBefore w:val="0"/>
        <w:widowControl w:val="0"/>
        <w:kinsoku/>
        <w:wordWrap/>
        <w:overflowPunct/>
        <w:topLinePunct w:val="0"/>
        <w:autoSpaceDE/>
        <w:autoSpaceDN/>
        <w:bidi w:val="0"/>
        <w:adjustRightInd/>
        <w:snapToGrid/>
        <w:spacing w:line="360" w:lineRule="auto"/>
        <w:ind w:left="0" w:firstLine="0"/>
        <w:contextualSpacing/>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、其他要求</w:t>
      </w:r>
    </w:p>
    <w:p w14:paraId="2C89516B">
      <w:pPr>
        <w:pStyle w:val="307"/>
        <w:keepNext w:val="0"/>
        <w:keepLines w:val="0"/>
        <w:pageBreakBefore w:val="0"/>
        <w:widowControl w:val="0"/>
        <w:kinsoku/>
        <w:wordWrap/>
        <w:overflowPunct/>
        <w:topLinePunct w:val="0"/>
        <w:autoSpaceDE/>
        <w:autoSpaceDN/>
        <w:bidi w:val="0"/>
        <w:adjustRightInd/>
        <w:snapToGrid/>
        <w:spacing w:line="360" w:lineRule="auto"/>
        <w:ind w:firstLine="480"/>
        <w:contextualSpacing/>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highlight w:val="none"/>
          <w:u w:val="single"/>
          <w:lang w:val="en-US" w:eastAsia="zh-CN"/>
        </w:rPr>
        <w:t xml:space="preserve"> 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57E810">
      <w:pPr>
        <w:keepNext w:val="0"/>
        <w:keepLines w:val="0"/>
        <w:pageBreakBefore w:val="0"/>
        <w:widowControl w:val="0"/>
        <w:spacing w:line="360" w:lineRule="auto"/>
        <w:ind w:right="210"/>
        <w:jc w:val="left"/>
        <w:outlineLvl w:val="9"/>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五</w:t>
      </w:r>
      <w:r>
        <w:rPr>
          <w:rFonts w:hint="eastAsia" w:ascii="宋体" w:hAnsi="宋体" w:eastAsia="宋体" w:cs="宋体"/>
          <w:b/>
          <w:color w:val="auto"/>
          <w:sz w:val="24"/>
          <w:szCs w:val="24"/>
          <w:highlight w:val="none"/>
          <w:u w:val="none"/>
        </w:rPr>
        <w:t>、报价方式</w:t>
      </w:r>
    </w:p>
    <w:p w14:paraId="428010B0">
      <w:pPr>
        <w:spacing w:line="360" w:lineRule="auto"/>
        <w:ind w:firstLine="482" w:firstLineChars="200"/>
        <w:rPr>
          <w:rFonts w:ascii="宋体" w:hAnsi="宋体"/>
          <w:color w:val="auto"/>
          <w:sz w:val="24"/>
          <w:highlight w:val="none"/>
        </w:rPr>
      </w:pPr>
      <w:r>
        <w:rPr>
          <w:rFonts w:hint="eastAsia" w:ascii="宋体" w:hAnsi="宋体" w:cs="宋体"/>
          <w:b/>
          <w:bCs/>
          <w:color w:val="auto"/>
          <w:sz w:val="24"/>
          <w:highlight w:val="none"/>
        </w:rPr>
        <w:t>1.本项目以优惠率进行报价。0≤优惠率&lt;100%，超出此范围则视为无效</w:t>
      </w:r>
      <w:r>
        <w:rPr>
          <w:rFonts w:hint="eastAsia" w:ascii="宋体" w:hAnsi="宋体" w:cs="宋体"/>
          <w:b/>
          <w:bCs/>
          <w:color w:val="auto"/>
          <w:sz w:val="24"/>
          <w:highlight w:val="none"/>
          <w:lang w:val="en-US" w:eastAsia="zh-CN"/>
        </w:rPr>
        <w:t>响应</w:t>
      </w:r>
      <w:r>
        <w:rPr>
          <w:rFonts w:hint="eastAsia" w:ascii="宋体" w:hAnsi="宋体" w:cs="宋体"/>
          <w:b/>
          <w:bCs/>
          <w:color w:val="auto"/>
          <w:sz w:val="24"/>
          <w:highlight w:val="none"/>
        </w:rPr>
        <w:t>。</w:t>
      </w:r>
      <w:r>
        <w:rPr>
          <w:rFonts w:hint="eastAsia" w:ascii="宋体" w:hAnsi="宋体"/>
          <w:b/>
          <w:bCs/>
          <w:color w:val="auto"/>
          <w:sz w:val="24"/>
          <w:highlight w:val="none"/>
        </w:rPr>
        <w:t>结算价格=公示价格*（1-优惠率)。</w:t>
      </w:r>
      <w:r>
        <w:rPr>
          <w:rFonts w:hint="eastAsia" w:ascii="宋体" w:hAnsi="宋体"/>
          <w:color w:val="auto"/>
          <w:sz w:val="24"/>
          <w:highlight w:val="none"/>
        </w:rPr>
        <w:t>报价应包括</w:t>
      </w:r>
      <w:r>
        <w:rPr>
          <w:rFonts w:hint="eastAsia" w:ascii="宋体" w:hAnsi="宋体"/>
          <w:color w:val="auto"/>
          <w:sz w:val="24"/>
          <w:highlight w:val="none"/>
          <w:lang w:eastAsia="zh-CN"/>
        </w:rPr>
        <w:t>竞争性磋商文件</w:t>
      </w:r>
      <w:r>
        <w:rPr>
          <w:rFonts w:hint="eastAsia" w:ascii="宋体" w:hAnsi="宋体"/>
          <w:color w:val="auto"/>
          <w:sz w:val="24"/>
          <w:highlight w:val="none"/>
        </w:rPr>
        <w:t>所确定的采购范围相应服务的提供、人员、办公场所及设施、专用设备、工具、车辆、办公设备、场地、通讯、保险、劳保、管理、各种税费、利润、税金、政策性文件规定及合同包含的所有风险、责任等各项应有费用，以及为完成该项服务项目所涉及到的一切相关费用，采购人不再支付其他任何费用。</w:t>
      </w:r>
    </w:p>
    <w:p w14:paraId="2C2C1FE0">
      <w:pPr>
        <w:pStyle w:val="307"/>
        <w:keepNext w:val="0"/>
        <w:keepLines w:val="0"/>
        <w:pageBreakBefore w:val="0"/>
        <w:widowControl w:val="0"/>
        <w:spacing w:line="360" w:lineRule="auto"/>
        <w:ind w:firstLine="480"/>
        <w:contextualSpacing/>
        <w:jc w:val="left"/>
        <w:outlineLvl w:val="9"/>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rPr>
        <w:t>2.各</w:t>
      </w:r>
      <w:r>
        <w:rPr>
          <w:rFonts w:hint="eastAsia" w:ascii="宋体" w:hAnsi="宋体"/>
          <w:b/>
          <w:bCs/>
          <w:color w:val="auto"/>
          <w:sz w:val="24"/>
          <w:highlight w:val="none"/>
          <w:lang w:val="en-US" w:eastAsia="zh-CN"/>
        </w:rPr>
        <w:t>供应商</w:t>
      </w:r>
      <w:r>
        <w:rPr>
          <w:rFonts w:hint="eastAsia" w:ascii="宋体" w:hAnsi="宋体"/>
          <w:b/>
          <w:bCs/>
          <w:color w:val="auto"/>
          <w:sz w:val="24"/>
          <w:highlight w:val="none"/>
        </w:rPr>
        <w:t>按照常州市权威部门（价格通）发布的菜市场平均价为报价基数报优惠率（例如：优惠率1%，则结算价格为报价基数的99%；优惠率5%，则结算价格为报价基数的95%，以此为例）。如常州市权威部门（价格通）发布的菜市场平均价未有相应参照价格的，则由采购人与中标人协商确定供货价格。</w:t>
      </w:r>
    </w:p>
    <w:p w14:paraId="7C4C629C">
      <w:pPr>
        <w:keepNext w:val="0"/>
        <w:keepLines w:val="0"/>
        <w:pageBreakBefore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p>
    <w:p w14:paraId="6B2DACFC">
      <w:pPr>
        <w:keepNext w:val="0"/>
        <w:keepLines w:val="0"/>
        <w:pageBreakBefore w:val="0"/>
        <w:spacing w:line="360" w:lineRule="auto"/>
        <w:ind w:firstLine="480"/>
        <w:outlineLvl w:val="9"/>
        <w:rPr>
          <w:rFonts w:hint="eastAsia" w:ascii="宋体" w:hAnsi="宋体" w:eastAsia="宋体" w:cs="宋体"/>
          <w:color w:val="auto"/>
          <w:sz w:val="24"/>
          <w:szCs w:val="24"/>
          <w:highlight w:val="none"/>
          <w:lang w:val="en-US" w:eastAsia="zh-CN"/>
        </w:rPr>
        <w:sectPr>
          <w:pgSz w:w="11906" w:h="16838"/>
          <w:pgMar w:top="1440" w:right="1800" w:bottom="1440" w:left="1800" w:header="851" w:footer="992" w:gutter="0"/>
          <w:pgNumType w:fmt="decimal"/>
          <w:cols w:space="1701" w:num="1"/>
          <w:docGrid w:linePitch="360" w:charSpace="0"/>
        </w:sectPr>
      </w:pPr>
    </w:p>
    <w:p w14:paraId="47E14519">
      <w:pPr>
        <w:keepNext w:val="0"/>
        <w:keepLines w:val="0"/>
        <w:pageBreakBefore w:val="0"/>
        <w:widowControl w:val="0"/>
        <w:spacing w:line="360" w:lineRule="auto"/>
        <w:ind w:firstLine="723"/>
        <w:jc w:val="center"/>
        <w:outlineLvl w:val="0"/>
        <w:rPr>
          <w:b/>
          <w:color w:val="auto"/>
          <w:sz w:val="36"/>
          <w:szCs w:val="36"/>
          <w:highlight w:val="none"/>
        </w:rPr>
      </w:pPr>
      <w:bookmarkStart w:id="610" w:name="_Toc20525"/>
      <w:bookmarkStart w:id="611" w:name="_Toc104818929"/>
      <w:r>
        <w:rPr>
          <w:b/>
          <w:color w:val="auto"/>
          <w:sz w:val="36"/>
          <w:szCs w:val="36"/>
          <w:highlight w:val="none"/>
        </w:rPr>
        <w:t>第五章   合同草案条款</w:t>
      </w:r>
      <w:bookmarkEnd w:id="610"/>
      <w:bookmarkEnd w:id="611"/>
    </w:p>
    <w:p w14:paraId="092F0E3B">
      <w:pPr>
        <w:pStyle w:val="20"/>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612" w:name="_Toc104818930"/>
      <w:r>
        <w:rPr>
          <w:rFonts w:hint="eastAsia" w:ascii="宋体" w:hAnsi="宋体" w:cs="宋体"/>
          <w:b/>
          <w:color w:val="auto"/>
          <w:sz w:val="24"/>
          <w:szCs w:val="24"/>
          <w:highlight w:val="none"/>
          <w:lang w:val="en-US" w:eastAsia="zh-CN"/>
        </w:rPr>
        <w:t>采购</w:t>
      </w:r>
      <w:r>
        <w:rPr>
          <w:rFonts w:hint="eastAsia" w:ascii="宋体" w:hAnsi="宋体" w:eastAsia="宋体" w:cs="宋体"/>
          <w:b/>
          <w:color w:val="auto"/>
          <w:sz w:val="24"/>
          <w:szCs w:val="24"/>
          <w:highlight w:val="none"/>
          <w:lang w:val="zh-CN"/>
        </w:rPr>
        <w:t>人（以下称甲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常州市钟楼区南大街街道办事处</w:t>
      </w:r>
      <w:r>
        <w:rPr>
          <w:rFonts w:hint="eastAsia" w:ascii="宋体" w:hAnsi="宋体" w:eastAsia="宋体" w:cs="宋体"/>
          <w:color w:val="auto"/>
          <w:sz w:val="24"/>
          <w:szCs w:val="24"/>
          <w:highlight w:val="none"/>
          <w:u w:val="single"/>
        </w:rPr>
        <w:t xml:space="preserve"> </w:t>
      </w:r>
    </w:p>
    <w:p w14:paraId="19E31B49">
      <w:pPr>
        <w:pStyle w:val="20"/>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成交供应商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p>
    <w:p w14:paraId="39BD78D0">
      <w:pPr>
        <w:pStyle w:val="6"/>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625C0B2E">
      <w:pPr>
        <w:pStyle w:val="6"/>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36FCB583">
      <w:pPr>
        <w:pStyle w:val="6"/>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3327C916">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16249F45">
      <w:pPr>
        <w:pStyle w:val="20"/>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2B462A">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cs="宋体"/>
          <w:color w:val="auto"/>
          <w:kern w:val="0"/>
          <w:sz w:val="24"/>
          <w:szCs w:val="24"/>
          <w:highlight w:val="none"/>
          <w:u w:val="single"/>
          <w:lang w:val="zh-CN"/>
        </w:rPr>
        <w:t>2026年-2028年南大街街道食堂食材配送服务项目</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066B027A">
      <w:pPr>
        <w:pStyle w:val="20"/>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2E8CFA2F">
      <w:pPr>
        <w:pStyle w:val="20"/>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Ansi="宋体" w:cs="宋体"/>
          <w:b/>
          <w:color w:val="auto"/>
          <w:sz w:val="24"/>
          <w:szCs w:val="24"/>
          <w:highlight w:val="none"/>
        </w:rPr>
        <w:t>签约优惠率（人民币，下同）</w:t>
      </w:r>
      <w:r>
        <w:rPr>
          <w:rFonts w:hAnsi="宋体" w:cs="宋体"/>
          <w:b/>
          <w:color w:val="auto"/>
          <w:sz w:val="24"/>
          <w:szCs w:val="24"/>
          <w:highlight w:val="none"/>
          <w:u w:val="single"/>
        </w:rPr>
        <w:t xml:space="preserve">：        % </w:t>
      </w:r>
      <w:r>
        <w:rPr>
          <w:rFonts w:hAnsi="宋体" w:cs="宋体"/>
          <w:b/>
          <w:color w:val="auto"/>
          <w:sz w:val="24"/>
          <w:szCs w:val="24"/>
          <w:highlight w:val="none"/>
        </w:rPr>
        <w:t>。</w:t>
      </w:r>
    </w:p>
    <w:p w14:paraId="736057A7">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竞争性磋商文件所确定的采购范围相应服务的提供、人员、办公场所及设施、专用设备、工具、车辆、办公设备、场地、通讯、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1F5B7AF2">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072773AB">
      <w:pPr>
        <w:pStyle w:val="20"/>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5C154FA0">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325837A8">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（1）竞争性磋商文件（编号：</w:t>
      </w:r>
      <w:r>
        <w:rPr>
          <w:rFonts w:hint="eastAsia" w:hAnsi="宋体" w:cs="宋体"/>
          <w:color w:val="auto"/>
          <w:sz w:val="24"/>
          <w:szCs w:val="24"/>
          <w:highlight w:val="none"/>
          <w:lang w:eastAsia="zh-CN"/>
        </w:rPr>
        <w:t>JSZC-320404006-SYZB-C2026-0033</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68686BC7">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（2）乙方提供的磋商响应文件；</w:t>
      </w:r>
    </w:p>
    <w:p w14:paraId="3B54522B">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（3）成交通知书；</w:t>
      </w:r>
    </w:p>
    <w:p w14:paraId="0570F537">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036DE99E">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571CD34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608BCC9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4E81857B">
      <w:pPr>
        <w:spacing w:line="360" w:lineRule="auto"/>
        <w:ind w:firstLine="482" w:firstLineChars="200"/>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3.结算方式</w:t>
      </w:r>
    </w:p>
    <w:p w14:paraId="5ACC028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结算价格=公示价格*（1-优惠率)。</w:t>
      </w:r>
    </w:p>
    <w:p w14:paraId="163458A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按照常州市权威部门（价格通）发布的菜市场平均价为报价基数，例如：优惠率1%，则结算价格为报价基数的99%；优惠率5%，则结算价格为报价基数的95%，以此为例。如常州市权威部门（价格通）发布的菜市场平均价未有相应参照价格的，则由甲乙双方协商确定供货价格。</w:t>
      </w:r>
    </w:p>
    <w:p w14:paraId="421788C0">
      <w:pPr>
        <w:adjustRightInd w:val="0"/>
        <w:snapToGrid w:val="0"/>
        <w:spacing w:line="360" w:lineRule="auto"/>
        <w:ind w:firstLine="487" w:firstLineChars="202"/>
        <w:rPr>
          <w:rFonts w:ascii="宋体" w:hAnsi="宋体" w:cs="宋体"/>
          <w:color w:val="auto"/>
          <w:sz w:val="24"/>
          <w:highlight w:val="none"/>
        </w:rPr>
      </w:pPr>
      <w:r>
        <w:rPr>
          <w:rFonts w:hint="eastAsia" w:ascii="宋体" w:hAnsi="宋体" w:cs="宋体"/>
          <w:b/>
          <w:bCs/>
          <w:color w:val="auto"/>
          <w:sz w:val="24"/>
          <w:highlight w:val="none"/>
        </w:rPr>
        <w:t>4.付款方式</w:t>
      </w:r>
      <w:r>
        <w:rPr>
          <w:rFonts w:hint="eastAsia" w:ascii="宋体" w:hAnsi="宋体" w:cs="宋体"/>
          <w:color w:val="auto"/>
          <w:sz w:val="24"/>
          <w:highlight w:val="none"/>
        </w:rPr>
        <w:t>：按食材价格定价方式确定的配送价格，结合考核结果进行结算。具体为甲方每</w:t>
      </w:r>
      <w:r>
        <w:rPr>
          <w:rFonts w:hint="eastAsia" w:ascii="宋体" w:hAnsi="宋体" w:cs="宋体"/>
          <w:color w:val="auto"/>
          <w:spacing w:val="2"/>
          <w:sz w:val="24"/>
          <w:szCs w:val="24"/>
          <w:highlight w:val="none"/>
          <w:u w:val="none"/>
          <w:lang w:val="en-US" w:eastAsia="zh-CN"/>
        </w:rPr>
        <w:t>季度</w:t>
      </w:r>
      <w:r>
        <w:rPr>
          <w:rFonts w:hint="eastAsia" w:ascii="宋体" w:hAnsi="宋体" w:cs="宋体"/>
          <w:color w:val="auto"/>
          <w:sz w:val="24"/>
          <w:highlight w:val="none"/>
        </w:rPr>
        <w:t>底与乙方结算本</w:t>
      </w:r>
      <w:r>
        <w:rPr>
          <w:rFonts w:hint="eastAsia" w:ascii="宋体" w:hAnsi="宋体" w:cs="宋体"/>
          <w:color w:val="auto"/>
          <w:spacing w:val="2"/>
          <w:sz w:val="24"/>
          <w:szCs w:val="24"/>
          <w:highlight w:val="none"/>
          <w:u w:val="none"/>
          <w:lang w:val="en-US" w:eastAsia="zh-CN"/>
        </w:rPr>
        <w:t>季度</w:t>
      </w:r>
      <w:r>
        <w:rPr>
          <w:rFonts w:hint="eastAsia" w:ascii="宋体" w:hAnsi="宋体" w:cs="宋体"/>
          <w:color w:val="auto"/>
          <w:sz w:val="24"/>
          <w:highlight w:val="none"/>
        </w:rPr>
        <w:t>货款，并进入支付环节。乙方需开具正规的税务发票并及时送达甲方，逾期产生的责任由乙方承担。</w:t>
      </w:r>
    </w:p>
    <w:p w14:paraId="1680917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原材料费用按</w:t>
      </w:r>
      <w:r>
        <w:rPr>
          <w:rFonts w:hint="eastAsia" w:ascii="宋体" w:hAnsi="宋体" w:cs="宋体"/>
          <w:color w:val="auto"/>
          <w:spacing w:val="2"/>
          <w:sz w:val="24"/>
          <w:szCs w:val="24"/>
          <w:highlight w:val="none"/>
          <w:u w:val="none"/>
          <w:lang w:val="en-US" w:eastAsia="zh-CN"/>
        </w:rPr>
        <w:t>季度</w:t>
      </w:r>
      <w:r>
        <w:rPr>
          <w:rFonts w:hint="eastAsia" w:ascii="宋体" w:hAnsi="宋体" w:cs="宋体"/>
          <w:color w:val="auto"/>
          <w:sz w:val="24"/>
          <w:highlight w:val="none"/>
        </w:rPr>
        <w:t>进行结算：经甲方审核通过后，乙方开具符合甲方要求的正规发票，甲方在收到发票后30个工作日内办理上</w:t>
      </w:r>
      <w:r>
        <w:rPr>
          <w:rFonts w:hint="eastAsia" w:ascii="宋体" w:hAnsi="宋体" w:cs="宋体"/>
          <w:color w:val="auto"/>
          <w:spacing w:val="2"/>
          <w:sz w:val="24"/>
          <w:szCs w:val="24"/>
          <w:highlight w:val="none"/>
          <w:u w:val="none"/>
          <w:lang w:val="en-US" w:eastAsia="zh-CN"/>
        </w:rPr>
        <w:t>季度</w:t>
      </w:r>
      <w:r>
        <w:rPr>
          <w:rFonts w:hint="eastAsia" w:ascii="宋体" w:hAnsi="宋体" w:cs="宋体"/>
          <w:color w:val="auto"/>
          <w:sz w:val="24"/>
          <w:highlight w:val="none"/>
        </w:rPr>
        <w:t>的配送额支付手续，如遇周末、节假日，则顺延至下一个工作日。</w:t>
      </w:r>
    </w:p>
    <w:p w14:paraId="5E392CB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2F3B673C">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0A0D4F71">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.乙方未按本合同的规定和“服务承诺”提供伴随服务的，甲方有权提前解除本合同，同时乙方应按合同总价款的5%向甲方承担违约责任。</w:t>
      </w:r>
    </w:p>
    <w:p w14:paraId="2D658C5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278598D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4E6DEB9A">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3EE52DD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58A3339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1689F0A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7BA3446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41F9457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350C5E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740F009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4E0E3523">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6A09796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1DB613D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17F8780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3211903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7C3ADE5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41D3046E">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5ECB8AB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乙方应诚实信用，严格按照竞争性磋商文件要求和磋商承诺履行合同，不向甲方进行商业贿赂或者提供不正当利益。</w:t>
      </w:r>
    </w:p>
    <w:p w14:paraId="6D91805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7DF2FB8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79A139B7">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cs="宋体"/>
          <w:color w:val="auto"/>
          <w:sz w:val="24"/>
          <w:szCs w:val="24"/>
          <w:highlight w:val="none"/>
          <w:lang w:val="en-US" w:eastAsia="zh-CN"/>
        </w:rPr>
        <w:t>肆</w:t>
      </w:r>
      <w:r>
        <w:rPr>
          <w:rFonts w:hint="eastAsia" w:ascii="宋体" w:hAnsi="宋体" w:eastAsia="宋体" w:cs="宋体"/>
          <w:color w:val="auto"/>
          <w:sz w:val="24"/>
          <w:szCs w:val="24"/>
          <w:highlight w:val="none"/>
        </w:rPr>
        <w:t>份，甲方贰份，乙方贰份。</w:t>
      </w:r>
    </w:p>
    <w:p w14:paraId="1D1DE84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80B50F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6058EB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693B35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1DF9E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1C407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p w14:paraId="2A771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7ED51C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18E03C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15AB68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7F7E5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6D559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7BA5C8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FB9B7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364F70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p>
    <w:p w14:paraId="1097FFFA">
      <w:pPr>
        <w:pStyle w:val="43"/>
        <w:rPr>
          <w:rFonts w:hint="eastAsia"/>
          <w:color w:val="auto"/>
          <w:highlight w:val="none"/>
          <w:lang w:eastAsia="zh-CN"/>
        </w:rPr>
        <w:sectPr>
          <w:pgSz w:w="11906" w:h="16838"/>
          <w:pgMar w:top="1440" w:right="1800" w:bottom="1440" w:left="1800" w:header="851" w:footer="992" w:gutter="0"/>
          <w:pgNumType w:fmt="decimal"/>
          <w:cols w:space="1701" w:num="1"/>
          <w:docGrid w:linePitch="360" w:charSpace="0"/>
        </w:sectPr>
      </w:pP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612"/>
    <w:p w14:paraId="333CCE0F">
      <w:pPr>
        <w:keepNext w:val="0"/>
        <w:keepLines w:val="0"/>
        <w:pageBreakBefore w:val="0"/>
        <w:widowControl w:val="0"/>
        <w:spacing w:line="360" w:lineRule="auto"/>
        <w:ind w:firstLine="723"/>
        <w:jc w:val="center"/>
        <w:outlineLvl w:val="0"/>
        <w:rPr>
          <w:rFonts w:hint="eastAsia"/>
          <w:b/>
          <w:color w:val="auto"/>
          <w:sz w:val="36"/>
          <w:szCs w:val="36"/>
          <w:highlight w:val="none"/>
        </w:rPr>
      </w:pPr>
      <w:bookmarkStart w:id="613" w:name="_Toc26791"/>
      <w:r>
        <w:rPr>
          <w:rFonts w:hint="eastAsia"/>
          <w:b/>
          <w:color w:val="auto"/>
          <w:sz w:val="36"/>
          <w:szCs w:val="36"/>
          <w:highlight w:val="none"/>
        </w:rPr>
        <w:t>第六章   响应文件格式</w:t>
      </w:r>
      <w:bookmarkEnd w:id="613"/>
    </w:p>
    <w:p w14:paraId="61BB8493">
      <w:pPr>
        <w:widowControl/>
        <w:spacing w:line="360" w:lineRule="auto"/>
        <w:jc w:val="left"/>
        <w:rPr>
          <w:b/>
          <w:color w:val="auto"/>
          <w:sz w:val="24"/>
          <w:highlight w:val="none"/>
        </w:rPr>
      </w:pPr>
    </w:p>
    <w:p w14:paraId="584AE94B">
      <w:pPr>
        <w:widowControl/>
        <w:spacing w:line="360" w:lineRule="auto"/>
        <w:jc w:val="left"/>
        <w:rPr>
          <w:b/>
          <w:color w:val="auto"/>
          <w:sz w:val="24"/>
          <w:highlight w:val="none"/>
        </w:rPr>
      </w:pPr>
    </w:p>
    <w:p w14:paraId="686BA0BC">
      <w:pPr>
        <w:tabs>
          <w:tab w:val="left" w:pos="900"/>
          <w:tab w:val="left" w:pos="1980"/>
        </w:tabs>
        <w:snapToGrid w:val="0"/>
        <w:spacing w:line="360" w:lineRule="auto"/>
        <w:ind w:left="142"/>
        <w:rPr>
          <w:b/>
          <w:color w:val="auto"/>
          <w:kern w:val="0"/>
          <w:sz w:val="24"/>
          <w:highlight w:val="none"/>
        </w:rPr>
      </w:pPr>
      <w:r>
        <w:rPr>
          <w:rFonts w:hint="eastAsia"/>
          <w:b/>
          <w:color w:val="auto"/>
          <w:kern w:val="0"/>
          <w:sz w:val="24"/>
          <w:highlight w:val="none"/>
        </w:rPr>
        <w:t>供应商编制文件须知</w:t>
      </w:r>
    </w:p>
    <w:p w14:paraId="32875AF6">
      <w:pPr>
        <w:tabs>
          <w:tab w:val="left" w:pos="900"/>
          <w:tab w:val="left" w:pos="1980"/>
        </w:tabs>
        <w:snapToGrid w:val="0"/>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09CBE907">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对于竞争性磋商文件中标记了“实质性格式”文件的，供应商</w:t>
      </w:r>
      <w:r>
        <w:rPr>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rPr>
        <w:t>否则响应无效</w:t>
      </w:r>
      <w:r>
        <w:rPr>
          <w:color w:val="auto"/>
          <w:kern w:val="0"/>
          <w:sz w:val="24"/>
          <w:highlight w:val="none"/>
        </w:rPr>
        <w:t>。未标记“实质性格式”的文件和竞争性磋商文件未提供格式的内容，可由供应商自行编写。</w:t>
      </w:r>
    </w:p>
    <w:p w14:paraId="60E5CE6E">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3A8FD50A">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1FB232E8">
      <w:pPr>
        <w:tabs>
          <w:tab w:val="left" w:pos="900"/>
          <w:tab w:val="left" w:pos="1980"/>
        </w:tabs>
        <w:snapToGrid w:val="0"/>
        <w:spacing w:line="360" w:lineRule="auto"/>
        <w:ind w:left="142"/>
        <w:rPr>
          <w:color w:val="auto"/>
          <w:sz w:val="24"/>
          <w:highlight w:val="none"/>
        </w:rPr>
      </w:pPr>
    </w:p>
    <w:p w14:paraId="45BC05CA">
      <w:pPr>
        <w:outlineLvl w:val="9"/>
        <w:rPr>
          <w:b/>
          <w:color w:val="auto"/>
          <w:spacing w:val="20"/>
          <w:sz w:val="24"/>
          <w:highlight w:val="none"/>
        </w:rPr>
        <w:sectPr>
          <w:pgSz w:w="11907" w:h="16840"/>
          <w:pgMar w:top="1418" w:right="1134" w:bottom="1418" w:left="1701" w:header="851" w:footer="851" w:gutter="0"/>
          <w:pgNumType w:fmt="decimal"/>
          <w:cols w:space="1701" w:num="1"/>
          <w:docGrid w:linePitch="360" w:charSpace="0"/>
        </w:sectPr>
      </w:pPr>
    </w:p>
    <w:p w14:paraId="0388EBDE">
      <w:pPr>
        <w:outlineLvl w:val="9"/>
        <w:rPr>
          <w:b/>
          <w:color w:val="auto"/>
          <w:sz w:val="24"/>
          <w:highlight w:val="none"/>
        </w:rPr>
      </w:pPr>
      <w:r>
        <w:rPr>
          <w:b/>
          <w:color w:val="auto"/>
          <w:spacing w:val="20"/>
          <w:sz w:val="24"/>
          <w:highlight w:val="none"/>
        </w:rPr>
        <w:t>响应文件</w:t>
      </w:r>
      <w:r>
        <w:rPr>
          <w:b/>
          <w:color w:val="auto"/>
          <w:sz w:val="24"/>
          <w:highlight w:val="none"/>
        </w:rPr>
        <w:t>封面（非实质性格式）</w:t>
      </w:r>
    </w:p>
    <w:p w14:paraId="27810F89">
      <w:pPr>
        <w:jc w:val="center"/>
        <w:outlineLvl w:val="9"/>
        <w:rPr>
          <w:color w:val="auto"/>
          <w:szCs w:val="21"/>
          <w:highlight w:val="none"/>
        </w:rPr>
      </w:pPr>
    </w:p>
    <w:p w14:paraId="19D79EB9">
      <w:pPr>
        <w:jc w:val="center"/>
        <w:outlineLvl w:val="9"/>
        <w:rPr>
          <w:b/>
          <w:color w:val="auto"/>
          <w:spacing w:val="60"/>
          <w:sz w:val="84"/>
          <w:szCs w:val="84"/>
          <w:highlight w:val="none"/>
        </w:rPr>
      </w:pPr>
      <w:r>
        <w:rPr>
          <w:b/>
          <w:color w:val="auto"/>
          <w:spacing w:val="60"/>
          <w:sz w:val="84"/>
          <w:szCs w:val="84"/>
          <w:highlight w:val="none"/>
        </w:rPr>
        <w:t>响 应 文 件</w:t>
      </w:r>
    </w:p>
    <w:p w14:paraId="3009CA9D">
      <w:pPr>
        <w:jc w:val="center"/>
        <w:outlineLvl w:val="9"/>
        <w:rPr>
          <w:b/>
          <w:color w:val="auto"/>
          <w:spacing w:val="60"/>
          <w:sz w:val="52"/>
          <w:szCs w:val="52"/>
          <w:highlight w:val="none"/>
        </w:rPr>
      </w:pPr>
    </w:p>
    <w:p w14:paraId="6282C7E1">
      <w:pPr>
        <w:ind w:firstLine="542"/>
        <w:outlineLvl w:val="9"/>
        <w:rPr>
          <w:b/>
          <w:color w:val="auto"/>
          <w:spacing w:val="20"/>
          <w:sz w:val="32"/>
          <w:szCs w:val="32"/>
          <w:highlight w:val="none"/>
        </w:rPr>
      </w:pPr>
    </w:p>
    <w:p w14:paraId="776CCFFC">
      <w:pPr>
        <w:ind w:firstLine="542"/>
        <w:outlineLvl w:val="9"/>
        <w:rPr>
          <w:b/>
          <w:color w:val="auto"/>
          <w:spacing w:val="20"/>
          <w:sz w:val="32"/>
          <w:szCs w:val="32"/>
          <w:highlight w:val="none"/>
        </w:rPr>
      </w:pPr>
    </w:p>
    <w:p w14:paraId="2549F395">
      <w:pPr>
        <w:ind w:firstLine="1084"/>
        <w:outlineLvl w:val="9"/>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503BCCDB">
      <w:pPr>
        <w:ind w:firstLine="1084"/>
        <w:outlineLvl w:val="9"/>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696F6D05">
      <w:pPr>
        <w:outlineLvl w:val="9"/>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p>
    <w:p w14:paraId="1BE57DCD">
      <w:pPr>
        <w:outlineLvl w:val="9"/>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374BABB5">
      <w:pPr>
        <w:jc w:val="center"/>
        <w:outlineLvl w:val="9"/>
        <w:rPr>
          <w:b/>
          <w:color w:val="auto"/>
          <w:sz w:val="32"/>
          <w:szCs w:val="32"/>
          <w:highlight w:val="none"/>
        </w:rPr>
      </w:pPr>
    </w:p>
    <w:p w14:paraId="7CB3EFF8">
      <w:pPr>
        <w:outlineLvl w:val="9"/>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满足《中华人民共和国政府采购法》第二十二条规定及法律法规的其他规定</w:t>
      </w:r>
    </w:p>
    <w:p w14:paraId="4177210B">
      <w:pPr>
        <w:outlineLvl w:val="9"/>
        <w:rPr>
          <w:rFonts w:ascii="Times New Roman"/>
          <w:b/>
          <w:bCs/>
          <w:color w:val="auto"/>
          <w:highlight w:val="none"/>
          <w:u w:val="none"/>
        </w:rPr>
      </w:pPr>
      <w:r>
        <w:rPr>
          <w:rFonts w:ascii="Times New Roman"/>
          <w:b/>
          <w:color w:val="auto"/>
          <w:highlight w:val="none"/>
          <w:u w:val="none"/>
        </w:rPr>
        <w:t>1-</w:t>
      </w:r>
      <w:r>
        <w:rPr>
          <w:rFonts w:hint="eastAsia" w:ascii="Times New Roman"/>
          <w:b/>
          <w:color w:val="auto"/>
          <w:highlight w:val="none"/>
          <w:u w:val="none"/>
        </w:rPr>
        <w:t>1</w:t>
      </w:r>
      <w:r>
        <w:rPr>
          <w:rFonts w:ascii="Times New Roman"/>
          <w:b/>
          <w:color w:val="auto"/>
          <w:highlight w:val="none"/>
          <w:u w:val="none"/>
        </w:rPr>
        <w:t xml:space="preserve"> 供应商资格声明</w:t>
      </w:r>
      <w:r>
        <w:rPr>
          <w:rFonts w:hint="eastAsia" w:ascii="Times New Roman"/>
          <w:b/>
          <w:color w:val="auto"/>
          <w:highlight w:val="none"/>
          <w:u w:val="none"/>
        </w:rPr>
        <w:t>函</w:t>
      </w:r>
      <w:r>
        <w:rPr>
          <w:rFonts w:ascii="Times New Roman"/>
          <w:b/>
          <w:color w:val="auto"/>
          <w:highlight w:val="none"/>
          <w:u w:val="none"/>
        </w:rPr>
        <w:t>（实质性格式）</w:t>
      </w:r>
    </w:p>
    <w:p w14:paraId="0482A12D">
      <w:pPr>
        <w:widowControl/>
        <w:spacing w:before="120" w:line="360" w:lineRule="auto"/>
        <w:jc w:val="center"/>
        <w:outlineLvl w:val="9"/>
        <w:rPr>
          <w:rFonts w:hint="eastAsia" w:ascii="宋体" w:hAnsi="宋体" w:cs="宋体"/>
          <w:b/>
          <w:color w:val="auto"/>
          <w:sz w:val="28"/>
          <w:szCs w:val="28"/>
          <w:highlight w:val="none"/>
        </w:rPr>
      </w:pPr>
    </w:p>
    <w:p w14:paraId="45B4FBA4">
      <w:pPr>
        <w:widowControl/>
        <w:spacing w:before="120" w:line="360" w:lineRule="auto"/>
        <w:jc w:val="center"/>
        <w:outlineLvl w:val="9"/>
        <w:rPr>
          <w:rFonts w:ascii="宋体" w:hAnsi="宋体" w:cs="宋体"/>
          <w:color w:val="auto"/>
          <w:szCs w:val="21"/>
          <w:highlight w:val="none"/>
        </w:rPr>
      </w:pPr>
      <w:r>
        <w:rPr>
          <w:rFonts w:hint="eastAsia" w:ascii="宋体" w:hAnsi="宋体" w:cs="宋体"/>
          <w:b/>
          <w:color w:val="auto"/>
          <w:sz w:val="28"/>
          <w:szCs w:val="28"/>
          <w:highlight w:val="none"/>
        </w:rPr>
        <w:t>供应商资格声明函</w:t>
      </w:r>
    </w:p>
    <w:p w14:paraId="1C741295">
      <w:pPr>
        <w:pStyle w:val="193"/>
        <w:spacing w:line="460" w:lineRule="exact"/>
        <w:ind w:firstLine="480"/>
        <w:outlineLvl w:val="9"/>
        <w:rPr>
          <w:color w:val="auto"/>
          <w:highlight w:val="none"/>
        </w:rPr>
      </w:pPr>
    </w:p>
    <w:p w14:paraId="4A99962D">
      <w:pPr>
        <w:pStyle w:val="193"/>
        <w:spacing w:line="460" w:lineRule="exact"/>
        <w:ind w:firstLine="480"/>
        <w:outlineLvl w:val="9"/>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江苏尚阳工程管理有限公司</w:t>
      </w:r>
    </w:p>
    <w:p w14:paraId="456D715D">
      <w:pPr>
        <w:pStyle w:val="193"/>
        <w:spacing w:line="460" w:lineRule="exact"/>
        <w:ind w:firstLine="960"/>
        <w:outlineLvl w:val="9"/>
        <w:rPr>
          <w:color w:val="auto"/>
          <w:highlight w:val="none"/>
          <w:u w:val="single"/>
        </w:rPr>
      </w:pPr>
      <w:r>
        <w:rPr>
          <w:rFonts w:hint="eastAsia"/>
          <w:color w:val="auto"/>
          <w:highlight w:val="none"/>
          <w:u w:val="single"/>
        </w:rPr>
        <w:t>（采购人名称）</w:t>
      </w:r>
    </w:p>
    <w:p w14:paraId="702E041C">
      <w:pPr>
        <w:pStyle w:val="193"/>
        <w:spacing w:line="460" w:lineRule="exact"/>
        <w:ind w:firstLine="480"/>
        <w:outlineLvl w:val="9"/>
        <w:rPr>
          <w:color w:val="auto"/>
          <w:highlight w:val="none"/>
        </w:rPr>
      </w:pPr>
    </w:p>
    <w:p w14:paraId="40392C64">
      <w:pPr>
        <w:pStyle w:val="193"/>
        <w:spacing w:line="460" w:lineRule="exact"/>
        <w:ind w:firstLine="480"/>
        <w:outlineLvl w:val="9"/>
        <w:rPr>
          <w:color w:val="auto"/>
          <w:highlight w:val="none"/>
        </w:rPr>
      </w:pPr>
      <w:r>
        <w:rPr>
          <w:rFonts w:hint="eastAsia"/>
          <w:color w:val="auto"/>
          <w:highlight w:val="none"/>
        </w:rPr>
        <w:t>按照《中华人民共和国政府采购法》第二十二条和磋商文件的规定，我单位郑重声明如下：</w:t>
      </w:r>
    </w:p>
    <w:p w14:paraId="28AE782C">
      <w:pPr>
        <w:pStyle w:val="193"/>
        <w:spacing w:line="460" w:lineRule="exact"/>
        <w:ind w:firstLine="480"/>
        <w:outlineLvl w:val="9"/>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77D0D91">
      <w:pPr>
        <w:pStyle w:val="193"/>
        <w:spacing w:line="460" w:lineRule="exact"/>
        <w:ind w:firstLine="480"/>
        <w:outlineLvl w:val="9"/>
        <w:rPr>
          <w:color w:val="auto"/>
          <w:highlight w:val="none"/>
        </w:rPr>
      </w:pPr>
      <w:r>
        <w:rPr>
          <w:rFonts w:hint="eastAsia"/>
          <w:color w:val="auto"/>
          <w:highlight w:val="none"/>
        </w:rPr>
        <w:t>二、我单位未被“国家企业信用信息系统”列入经营异常名录或者严重违法企业名单。</w:t>
      </w:r>
    </w:p>
    <w:p w14:paraId="3E89E726">
      <w:pPr>
        <w:pStyle w:val="193"/>
        <w:spacing w:line="460" w:lineRule="exact"/>
        <w:ind w:firstLine="480"/>
        <w:outlineLvl w:val="9"/>
        <w:rPr>
          <w:color w:val="auto"/>
          <w:highlight w:val="none"/>
        </w:rPr>
      </w:pPr>
      <w:r>
        <w:rPr>
          <w:rFonts w:hint="eastAsia"/>
          <w:color w:val="auto"/>
          <w:highlight w:val="none"/>
        </w:rPr>
        <w:t>三、我单位具有良好的商业信誉（指供应商经营状况良好，无本资格声明第十条情形）和健全的财务会计制度。</w:t>
      </w:r>
    </w:p>
    <w:p w14:paraId="73FB7FB6">
      <w:pPr>
        <w:pStyle w:val="193"/>
        <w:spacing w:line="460" w:lineRule="exact"/>
        <w:ind w:firstLine="480"/>
        <w:outlineLvl w:val="9"/>
        <w:rPr>
          <w:color w:val="auto"/>
          <w:highlight w:val="none"/>
        </w:rPr>
      </w:pPr>
      <w:r>
        <w:rPr>
          <w:rFonts w:hint="eastAsia"/>
          <w:color w:val="auto"/>
          <w:highlight w:val="none"/>
        </w:rPr>
        <w:t>四、我单位依法进行纳税和社会保险申报并实际履行了义务。</w:t>
      </w:r>
    </w:p>
    <w:p w14:paraId="664F0F94">
      <w:pPr>
        <w:pStyle w:val="193"/>
        <w:spacing w:line="460" w:lineRule="exact"/>
        <w:ind w:firstLine="480"/>
        <w:outlineLvl w:val="9"/>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10DE01D1">
      <w:pPr>
        <w:pStyle w:val="193"/>
        <w:spacing w:line="460" w:lineRule="exact"/>
        <w:ind w:firstLine="480"/>
        <w:outlineLvl w:val="9"/>
        <w:rPr>
          <w:color w:val="auto"/>
          <w:highlight w:val="none"/>
        </w:rPr>
      </w:pPr>
      <w:r>
        <w:rPr>
          <w:rFonts w:hint="eastAsia"/>
          <w:color w:val="auto"/>
          <w:highlight w:val="none"/>
        </w:rPr>
        <w:t>主要设备有：</w:t>
      </w:r>
      <w:r>
        <w:rPr>
          <w:color w:val="auto"/>
          <w:highlight w:val="none"/>
          <w:u w:val="single"/>
        </w:rPr>
        <w:t xml:space="preserve">            </w:t>
      </w:r>
    </w:p>
    <w:p w14:paraId="319B2460">
      <w:pPr>
        <w:pStyle w:val="193"/>
        <w:spacing w:line="460" w:lineRule="exact"/>
        <w:ind w:firstLine="480"/>
        <w:outlineLvl w:val="9"/>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5C3482DA">
      <w:pPr>
        <w:pStyle w:val="193"/>
        <w:spacing w:line="460" w:lineRule="exact"/>
        <w:ind w:firstLine="480"/>
        <w:outlineLvl w:val="9"/>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77AA409">
      <w:pPr>
        <w:pStyle w:val="193"/>
        <w:spacing w:line="460" w:lineRule="exact"/>
        <w:ind w:firstLine="480"/>
        <w:outlineLvl w:val="9"/>
        <w:rPr>
          <w:color w:val="auto"/>
          <w:highlight w:val="none"/>
        </w:rPr>
      </w:pPr>
      <w:r>
        <w:rPr>
          <w:rFonts w:hint="eastAsia"/>
          <w:color w:val="auto"/>
          <w:highlight w:val="none"/>
        </w:rPr>
        <w:t>七、我单位具备法律、行政法规规定的其他条件。</w:t>
      </w:r>
    </w:p>
    <w:p w14:paraId="50B44737">
      <w:pPr>
        <w:pStyle w:val="193"/>
        <w:spacing w:line="460" w:lineRule="exact"/>
        <w:ind w:firstLine="480"/>
        <w:outlineLvl w:val="9"/>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542C9948">
      <w:pPr>
        <w:pStyle w:val="193"/>
        <w:spacing w:line="460" w:lineRule="exact"/>
        <w:ind w:firstLine="480"/>
        <w:outlineLvl w:val="9"/>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37AE7485">
      <w:pPr>
        <w:pStyle w:val="193"/>
        <w:spacing w:line="460" w:lineRule="exact"/>
        <w:ind w:firstLine="480"/>
        <w:outlineLvl w:val="9"/>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535CD2E5">
      <w:pPr>
        <w:pStyle w:val="193"/>
        <w:spacing w:line="460" w:lineRule="exact"/>
        <w:ind w:firstLine="480"/>
        <w:outlineLvl w:val="9"/>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45E3C16E">
      <w:pPr>
        <w:pStyle w:val="193"/>
        <w:spacing w:line="460" w:lineRule="exact"/>
        <w:ind w:firstLine="480"/>
        <w:outlineLvl w:val="9"/>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5F6995AD">
      <w:pPr>
        <w:pStyle w:val="193"/>
        <w:spacing w:line="460" w:lineRule="exact"/>
        <w:ind w:firstLine="480"/>
        <w:outlineLvl w:val="9"/>
        <w:rPr>
          <w:color w:val="auto"/>
          <w:highlight w:val="none"/>
        </w:rPr>
      </w:pPr>
      <w:r>
        <w:rPr>
          <w:rFonts w:hint="eastAsia"/>
          <w:color w:val="auto"/>
          <w:highlight w:val="none"/>
        </w:rPr>
        <w:t>十、</w:t>
      </w:r>
      <w:r>
        <w:rPr>
          <w:color w:val="auto"/>
          <w:highlight w:val="none"/>
        </w:rPr>
        <w:t>我单位无以下不良信用记录情形：</w:t>
      </w:r>
    </w:p>
    <w:p w14:paraId="40A86CBD">
      <w:pPr>
        <w:pStyle w:val="193"/>
        <w:spacing w:line="460" w:lineRule="exact"/>
        <w:ind w:firstLine="480"/>
        <w:outlineLvl w:val="9"/>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342F3218">
      <w:pPr>
        <w:pStyle w:val="193"/>
        <w:spacing w:line="460" w:lineRule="exact"/>
        <w:ind w:firstLine="480"/>
        <w:outlineLvl w:val="9"/>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083938F4">
      <w:pPr>
        <w:pStyle w:val="193"/>
        <w:spacing w:line="460" w:lineRule="exact"/>
        <w:ind w:firstLine="480"/>
        <w:outlineLvl w:val="9"/>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74C070B5">
      <w:pPr>
        <w:pStyle w:val="193"/>
        <w:spacing w:line="460" w:lineRule="exact"/>
        <w:ind w:firstLine="480"/>
        <w:outlineLvl w:val="9"/>
        <w:rPr>
          <w:color w:val="auto"/>
          <w:highlight w:val="none"/>
        </w:rPr>
      </w:pPr>
    </w:p>
    <w:p w14:paraId="1702CFFD">
      <w:pPr>
        <w:pStyle w:val="193"/>
        <w:spacing w:line="460" w:lineRule="exact"/>
        <w:ind w:firstLine="480"/>
        <w:outlineLvl w:val="9"/>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305B265C">
      <w:pPr>
        <w:pStyle w:val="193"/>
        <w:spacing w:line="460" w:lineRule="exact"/>
        <w:ind w:firstLine="480"/>
        <w:outlineLvl w:val="9"/>
        <w:rPr>
          <w:color w:val="auto"/>
          <w:highlight w:val="none"/>
        </w:rPr>
      </w:pPr>
    </w:p>
    <w:p w14:paraId="08CA0C28">
      <w:pPr>
        <w:pStyle w:val="193"/>
        <w:spacing w:line="460" w:lineRule="exact"/>
        <w:ind w:firstLine="480"/>
        <w:outlineLvl w:val="9"/>
        <w:rPr>
          <w:color w:val="auto"/>
          <w:highlight w:val="none"/>
        </w:rPr>
      </w:pPr>
    </w:p>
    <w:p w14:paraId="224623E9">
      <w:pPr>
        <w:pStyle w:val="193"/>
        <w:spacing w:line="460" w:lineRule="exact"/>
        <w:ind w:firstLine="480"/>
        <w:outlineLvl w:val="9"/>
        <w:rPr>
          <w:color w:val="auto"/>
          <w:highlight w:val="none"/>
        </w:rPr>
      </w:pPr>
      <w:r>
        <w:rPr>
          <w:rFonts w:hint="eastAsia"/>
          <w:color w:val="auto"/>
          <w:highlight w:val="none"/>
        </w:rPr>
        <w:t>                                            供应商：（加盖公章）</w:t>
      </w:r>
    </w:p>
    <w:p w14:paraId="357EF521">
      <w:pPr>
        <w:pStyle w:val="193"/>
        <w:spacing w:line="460" w:lineRule="exact"/>
        <w:ind w:firstLine="480"/>
        <w:outlineLvl w:val="9"/>
        <w:rPr>
          <w:color w:val="auto"/>
          <w:highlight w:val="none"/>
        </w:rPr>
      </w:pPr>
      <w:r>
        <w:rPr>
          <w:rFonts w:hint="eastAsia"/>
          <w:color w:val="auto"/>
          <w:highlight w:val="none"/>
        </w:rPr>
        <w:t>                                           法定代表人（或单位负责人）签字或盖章：</w:t>
      </w:r>
    </w:p>
    <w:p w14:paraId="65762F9E">
      <w:pPr>
        <w:pStyle w:val="193"/>
        <w:spacing w:line="460" w:lineRule="exact"/>
        <w:ind w:firstLine="4920"/>
        <w:outlineLvl w:val="9"/>
        <w:rPr>
          <w:rFonts w:hint="eastAsia"/>
          <w:color w:val="auto"/>
          <w:highlight w:val="none"/>
        </w:rPr>
      </w:pPr>
      <w:r>
        <w:rPr>
          <w:rFonts w:hint="eastAsia"/>
          <w:color w:val="auto"/>
          <w:highlight w:val="none"/>
        </w:rPr>
        <w:t>日期：    年    月    日</w:t>
      </w:r>
    </w:p>
    <w:p w14:paraId="6CB40879">
      <w:pPr>
        <w:spacing w:line="360" w:lineRule="auto"/>
        <w:outlineLvl w:val="9"/>
        <w:rPr>
          <w:rFonts w:hint="eastAsia"/>
          <w:color w:val="auto"/>
          <w:sz w:val="24"/>
          <w:highlight w:val="none"/>
        </w:rPr>
      </w:pPr>
    </w:p>
    <w:p w14:paraId="403C344A">
      <w:pPr>
        <w:spacing w:line="360" w:lineRule="auto"/>
        <w:outlineLvl w:val="9"/>
        <w:rPr>
          <w:rFonts w:hint="eastAsia"/>
          <w:color w:val="auto"/>
          <w:sz w:val="24"/>
          <w:highlight w:val="none"/>
        </w:rPr>
      </w:pPr>
    </w:p>
    <w:p w14:paraId="00C39399">
      <w:pPr>
        <w:spacing w:line="360" w:lineRule="auto"/>
        <w:outlineLvl w:val="9"/>
        <w:rPr>
          <w:rFonts w:hint="eastAsia"/>
          <w:color w:val="auto"/>
          <w:sz w:val="24"/>
          <w:highlight w:val="none"/>
        </w:rPr>
      </w:pPr>
    </w:p>
    <w:p w14:paraId="09B9B65D">
      <w:pPr>
        <w:spacing w:line="360" w:lineRule="auto"/>
        <w:outlineLvl w:val="9"/>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6C703712">
      <w:pPr>
        <w:tabs>
          <w:tab w:val="left" w:pos="5580"/>
        </w:tabs>
        <w:spacing w:line="360" w:lineRule="auto"/>
        <w:outlineLvl w:val="9"/>
        <w:rPr>
          <w:color w:val="auto"/>
          <w:sz w:val="24"/>
          <w:highlight w:val="none"/>
        </w:rPr>
        <w:sectPr>
          <w:pgSz w:w="11907" w:h="16840"/>
          <w:pgMar w:top="1418" w:right="1134" w:bottom="1418" w:left="1701" w:header="851" w:footer="851" w:gutter="0"/>
          <w:pgNumType w:fmt="decimal"/>
          <w:cols w:space="1701" w:num="1"/>
          <w:docGrid w:linePitch="360" w:charSpace="0"/>
        </w:sectPr>
      </w:pPr>
    </w:p>
    <w:p w14:paraId="012170E0">
      <w:pPr>
        <w:pStyle w:val="6"/>
        <w:keepNext w:val="0"/>
        <w:keepLines w:val="0"/>
        <w:pageBreakBefore w:val="0"/>
        <w:widowControl w:val="0"/>
        <w:kinsoku/>
        <w:wordWrap/>
        <w:overflowPunct/>
        <w:topLinePunct w:val="0"/>
        <w:bidi w:val="0"/>
        <w:spacing w:line="360" w:lineRule="auto"/>
        <w:ind w:left="0" w:leftChars="0" w:firstLine="0" w:firstLineChars="0"/>
        <w:textAlignment w:val="auto"/>
        <w:outlineLvl w:val="9"/>
        <w:rPr>
          <w:rFonts w:hint="eastAsia" w:ascii="宋体" w:hAnsi="Times New Roman" w:eastAsia="宋体" w:cs="Times New Roman"/>
          <w:color w:val="auto"/>
          <w:highlight w:val="none"/>
        </w:rPr>
      </w:pPr>
      <w:bookmarkStart w:id="614" w:name="_Toc150480795"/>
      <w:bookmarkStart w:id="615" w:name="_Toc265228395"/>
      <w:bookmarkStart w:id="616" w:name="_Toc226965830"/>
      <w:bookmarkStart w:id="617" w:name="_Toc127151557"/>
      <w:bookmarkStart w:id="618" w:name="_Toc226337253"/>
      <w:bookmarkStart w:id="619" w:name="_Toc305158899"/>
      <w:bookmarkStart w:id="620" w:name="_Toc142311059"/>
      <w:bookmarkStart w:id="621" w:name="_Toc226309801"/>
      <w:bookmarkStart w:id="622" w:name="_Toc195842922"/>
      <w:bookmarkStart w:id="623" w:name="_Toc480942350"/>
      <w:bookmarkStart w:id="624" w:name="_Toc305158825"/>
      <w:bookmarkStart w:id="625" w:name="_Toc520356218"/>
      <w:bookmarkStart w:id="626" w:name="_Toc226965747"/>
      <w:bookmarkStart w:id="627" w:name="_Toc150774762"/>
      <w:bookmarkStart w:id="628" w:name="_Toc264969247"/>
      <w:bookmarkStart w:id="629" w:name="_Ref467988705"/>
      <w:r>
        <w:rPr>
          <w:rFonts w:hint="eastAsia" w:ascii="宋体" w:hAnsi="Times New Roman" w:eastAsia="宋体" w:cs="Times New Roman"/>
          <w:color w:val="auto"/>
          <w:highlight w:val="none"/>
          <w:lang w:val="en-US" w:eastAsia="zh-CN"/>
        </w:rPr>
        <w:t>2</w:t>
      </w:r>
      <w:r>
        <w:rPr>
          <w:rFonts w:hint="eastAsia" w:cs="Times New Roman"/>
          <w:color w:val="auto"/>
          <w:highlight w:val="none"/>
          <w:lang w:val="en-US" w:eastAsia="zh-CN"/>
        </w:rPr>
        <w:t xml:space="preserve"> </w:t>
      </w:r>
      <w:r>
        <w:rPr>
          <w:rFonts w:hint="eastAsia" w:ascii="宋体" w:hAnsi="Times New Roman" w:eastAsia="宋体" w:cs="Times New Roman"/>
          <w:color w:val="auto"/>
          <w:highlight w:val="none"/>
        </w:rPr>
        <w:t>其他特定资格要求</w:t>
      </w:r>
    </w:p>
    <w:p w14:paraId="057F383D">
      <w:pPr>
        <w:spacing w:line="360" w:lineRule="auto"/>
        <w:ind w:firstLine="480" w:firstLineChars="200"/>
        <w:outlineLvl w:val="9"/>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供应商具有有效的《食品经营许可证》</w:t>
      </w:r>
      <w:r>
        <w:rPr>
          <w:rFonts w:hint="eastAsia" w:ascii="宋体" w:hAnsi="宋体" w:eastAsia="宋体" w:cs="宋体"/>
          <w:color w:val="auto"/>
          <w:sz w:val="24"/>
          <w:szCs w:val="24"/>
          <w:highlight w:val="none"/>
          <w:u w:val="none"/>
          <w:lang w:val="en-US" w:eastAsia="zh-CN"/>
        </w:rPr>
        <w:t>。</w:t>
      </w:r>
    </w:p>
    <w:p w14:paraId="72E792BD">
      <w:pPr>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br w:type="page"/>
      </w:r>
    </w:p>
    <w:p w14:paraId="349E5DB2">
      <w:pPr>
        <w:spacing w:line="360" w:lineRule="auto"/>
        <w:outlineLvl w:val="9"/>
        <w:rPr>
          <w:color w:val="auto"/>
          <w:sz w:val="24"/>
          <w:szCs w:val="20"/>
          <w:highlight w:val="none"/>
        </w:rPr>
      </w:pPr>
      <w:r>
        <w:rPr>
          <w:rFonts w:hint="eastAsia"/>
          <w:color w:val="auto"/>
          <w:sz w:val="24"/>
          <w:szCs w:val="20"/>
          <w:highlight w:val="none"/>
          <w:lang w:val="en-US" w:eastAsia="zh-CN"/>
        </w:rPr>
        <w:t>3</w:t>
      </w:r>
      <w:r>
        <w:rPr>
          <w:color w:val="auto"/>
          <w:sz w:val="24"/>
          <w:szCs w:val="20"/>
          <w:highlight w:val="none"/>
        </w:rPr>
        <w:t xml:space="preserve"> 落实政府采购政策需满足的资格要求</w:t>
      </w:r>
    </w:p>
    <w:p w14:paraId="345B7102">
      <w:pPr>
        <w:spacing w:line="360" w:lineRule="auto"/>
        <w:outlineLvl w:val="9"/>
        <w:rPr>
          <w:color w:val="auto"/>
          <w:sz w:val="24"/>
          <w:szCs w:val="20"/>
          <w:highlight w:val="none"/>
        </w:rPr>
      </w:pPr>
      <w:r>
        <w:rPr>
          <w:rFonts w:hint="eastAsia"/>
          <w:color w:val="auto"/>
          <w:sz w:val="24"/>
          <w:szCs w:val="20"/>
          <w:highlight w:val="none"/>
          <w:lang w:val="en-US" w:eastAsia="zh-CN"/>
        </w:rPr>
        <w:t>3</w:t>
      </w:r>
      <w:r>
        <w:rPr>
          <w:color w:val="auto"/>
          <w:sz w:val="24"/>
          <w:szCs w:val="20"/>
          <w:highlight w:val="none"/>
        </w:rPr>
        <w:t>-1 中小企业声明函</w:t>
      </w:r>
    </w:p>
    <w:p w14:paraId="51E7B30D">
      <w:pPr>
        <w:tabs>
          <w:tab w:val="left" w:pos="5580"/>
        </w:tabs>
        <w:spacing w:line="360" w:lineRule="auto"/>
        <w:outlineLvl w:val="9"/>
        <w:rPr>
          <w:color w:val="auto"/>
          <w:sz w:val="24"/>
          <w:highlight w:val="none"/>
        </w:rPr>
      </w:pPr>
    </w:p>
    <w:p w14:paraId="30AA8C6A">
      <w:pPr>
        <w:tabs>
          <w:tab w:val="left" w:pos="5580"/>
        </w:tabs>
        <w:spacing w:line="360" w:lineRule="auto"/>
        <w:outlineLvl w:val="9"/>
        <w:rPr>
          <w:color w:val="auto"/>
          <w:sz w:val="24"/>
          <w:highlight w:val="none"/>
        </w:rPr>
      </w:pPr>
      <w:r>
        <w:rPr>
          <w:color w:val="auto"/>
          <w:sz w:val="24"/>
          <w:highlight w:val="none"/>
        </w:rPr>
        <w:t>说明：</w:t>
      </w:r>
    </w:p>
    <w:p w14:paraId="25CE5EDB">
      <w:pPr>
        <w:tabs>
          <w:tab w:val="left" w:pos="5580"/>
        </w:tabs>
        <w:spacing w:line="360" w:lineRule="auto"/>
        <w:outlineLvl w:val="9"/>
        <w:rPr>
          <w:color w:val="auto"/>
          <w:sz w:val="24"/>
          <w:highlight w:val="none"/>
        </w:rPr>
      </w:pPr>
      <w:r>
        <w:rPr>
          <w:color w:val="auto"/>
          <w:sz w:val="24"/>
          <w:highlight w:val="none"/>
        </w:rPr>
        <w:t>（1）本项目专门面向中小企业采购，须提供《中小企业声明函》</w:t>
      </w:r>
      <w:r>
        <w:rPr>
          <w:color w:val="auto"/>
          <w:sz w:val="24"/>
          <w:szCs w:val="20"/>
          <w:highlight w:val="none"/>
        </w:rPr>
        <w:t>（实质性格式）</w:t>
      </w:r>
      <w:r>
        <w:rPr>
          <w:color w:val="auto"/>
          <w:sz w:val="24"/>
          <w:highlight w:val="none"/>
        </w:rPr>
        <w:t>。</w:t>
      </w:r>
    </w:p>
    <w:p w14:paraId="07F28773">
      <w:pPr>
        <w:tabs>
          <w:tab w:val="left" w:pos="5580"/>
        </w:tabs>
        <w:spacing w:line="360" w:lineRule="auto"/>
        <w:outlineLvl w:val="9"/>
        <w:rPr>
          <w:color w:val="auto"/>
          <w:sz w:val="24"/>
          <w:highlight w:val="none"/>
        </w:rPr>
      </w:pPr>
      <w:r>
        <w:rPr>
          <w:color w:val="auto"/>
          <w:sz w:val="24"/>
          <w:highlight w:val="none"/>
        </w:rPr>
        <w:t>（2）其它</w:t>
      </w:r>
      <w:r>
        <w:rPr>
          <w:rFonts w:hint="eastAsia"/>
          <w:color w:val="auto"/>
          <w:sz w:val="24"/>
          <w:highlight w:val="none"/>
          <w:lang w:eastAsia="zh-CN"/>
        </w:rPr>
        <w:t>：</w:t>
      </w:r>
      <w:r>
        <w:rPr>
          <w:color w:val="auto"/>
          <w:sz w:val="24"/>
          <w:highlight w:val="none"/>
        </w:rPr>
        <w:t>中小企业参加政府采购活动，应当出具此格式文件。《中小企业声明函》由参加政府采购活动的供应商出具。</w:t>
      </w:r>
    </w:p>
    <w:p w14:paraId="513B058A">
      <w:pPr>
        <w:tabs>
          <w:tab w:val="left" w:pos="5580"/>
        </w:tabs>
        <w:spacing w:line="360" w:lineRule="auto"/>
        <w:outlineLvl w:val="9"/>
        <w:rPr>
          <w:color w:val="auto"/>
          <w:sz w:val="24"/>
          <w:highlight w:val="none"/>
        </w:rPr>
      </w:pPr>
      <w:r>
        <w:rPr>
          <w:color w:val="auto"/>
          <w:sz w:val="24"/>
          <w:highlight w:val="none"/>
        </w:rPr>
        <w:t>（</w:t>
      </w:r>
      <w:r>
        <w:rPr>
          <w:rFonts w:hint="eastAsia"/>
          <w:color w:val="auto"/>
          <w:sz w:val="24"/>
          <w:highlight w:val="none"/>
          <w:lang w:val="en-US" w:eastAsia="zh-CN"/>
        </w:rPr>
        <w:t>3</w:t>
      </w:r>
      <w:r>
        <w:rPr>
          <w:color w:val="auto"/>
          <w:sz w:val="24"/>
          <w:highlight w:val="none"/>
        </w:rPr>
        <w:t>）</w:t>
      </w:r>
      <w:r>
        <w:rPr>
          <w:rFonts w:hint="eastAsia"/>
          <w:color w:val="auto"/>
          <w:sz w:val="24"/>
          <w:highlight w:val="none"/>
        </w:rPr>
        <w:t>中小企业认定标准以《关于印发中小企业划型标准规定的通知》（工信部联企业〔2011〕300号）文件规定为准。</w:t>
      </w:r>
    </w:p>
    <w:p w14:paraId="36CBDC23">
      <w:pPr>
        <w:tabs>
          <w:tab w:val="left" w:pos="5580"/>
        </w:tabs>
        <w:spacing w:line="360" w:lineRule="auto"/>
        <w:outlineLvl w:val="9"/>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color w:val="auto"/>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（工信部网址：https</w:t>
      </w:r>
      <w:r>
        <w:rPr>
          <w:rFonts w:hint="eastAsia"/>
          <w:color w:val="auto"/>
          <w:sz w:val="24"/>
          <w:highlight w:val="none"/>
          <w:lang w:eastAsia="zh-CN"/>
        </w:rPr>
        <w:t>：</w:t>
      </w:r>
      <w:r>
        <w:rPr>
          <w:rFonts w:hint="eastAsia"/>
          <w:color w:val="auto"/>
          <w:sz w:val="24"/>
          <w:highlight w:val="none"/>
        </w:rPr>
        <w:t>//baosong.miit.gov.cn/ScaleTest）</w:t>
      </w:r>
    </w:p>
    <w:p w14:paraId="6BA8174E">
      <w:pPr>
        <w:tabs>
          <w:tab w:val="left" w:pos="5580"/>
        </w:tabs>
        <w:spacing w:line="360" w:lineRule="auto"/>
        <w:outlineLvl w:val="9"/>
        <w:rPr>
          <w:color w:val="auto"/>
          <w:sz w:val="24"/>
          <w:highlight w:val="none"/>
        </w:rPr>
      </w:pPr>
    </w:p>
    <w:p w14:paraId="411767AE">
      <w:pPr>
        <w:tabs>
          <w:tab w:val="left" w:pos="5580"/>
        </w:tabs>
        <w:spacing w:line="360" w:lineRule="auto"/>
        <w:outlineLvl w:val="9"/>
        <w:rPr>
          <w:color w:val="auto"/>
          <w:sz w:val="24"/>
          <w:highlight w:val="none"/>
        </w:rPr>
      </w:pPr>
    </w:p>
    <w:p w14:paraId="73E71E9B">
      <w:pPr>
        <w:spacing w:before="240" w:after="240" w:line="360" w:lineRule="auto"/>
        <w:jc w:val="center"/>
        <w:outlineLvl w:val="9"/>
        <w:rPr>
          <w:rFonts w:ascii="方正小标宋简体" w:hAnsi="宋体" w:eastAsia="方正小标宋简体" w:cs="Times New Roman"/>
          <w:color w:val="auto"/>
          <w:sz w:val="44"/>
          <w:szCs w:val="44"/>
          <w:highlight w:val="none"/>
        </w:rPr>
      </w:pPr>
      <w:r>
        <w:rPr>
          <w:color w:val="auto"/>
          <w:sz w:val="24"/>
          <w:highlight w:val="none"/>
        </w:rPr>
        <w:br w:type="page" w:clear="all"/>
      </w:r>
      <w:r>
        <w:rPr>
          <w:rFonts w:ascii="方正小标宋简体" w:hAnsi="宋体" w:eastAsia="方正小标宋简体" w:cs="Times New Roman"/>
          <w:color w:val="auto"/>
          <w:sz w:val="44"/>
          <w:szCs w:val="44"/>
          <w:highlight w:val="none"/>
        </w:rPr>
        <w:t>中小企业声明函</w:t>
      </w:r>
      <w:r>
        <w:rPr>
          <w:rFonts w:hint="eastAsia" w:ascii="方正小标宋简体" w:hAnsi="宋体" w:eastAsia="方正小标宋简体" w:cs="Times New Roman"/>
          <w:color w:val="auto"/>
          <w:sz w:val="44"/>
          <w:szCs w:val="44"/>
          <w:highlight w:val="none"/>
        </w:rPr>
        <w:t>格式</w:t>
      </w:r>
    </w:p>
    <w:p w14:paraId="4F18D603">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417E8CBC">
      <w:pPr>
        <w:spacing w:line="57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2D92ACFA">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9296B9A">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E42E1A9">
      <w:pPr>
        <w:spacing w:line="570" w:lineRule="exact"/>
        <w:ind w:right="180" w:firstLine="360"/>
        <w:jc w:val="right"/>
        <w:rPr>
          <w:rFonts w:hint="eastAsia" w:ascii="宋体" w:hAnsi="宋体" w:eastAsia="宋体" w:cs="宋体"/>
          <w:color w:val="auto"/>
          <w:sz w:val="24"/>
          <w:szCs w:val="24"/>
          <w:highlight w:val="none"/>
        </w:rPr>
      </w:pPr>
    </w:p>
    <w:p w14:paraId="6642EB10">
      <w:pPr>
        <w:spacing w:line="570" w:lineRule="exact"/>
        <w:ind w:right="180" w:firstLine="360"/>
        <w:jc w:val="right"/>
        <w:rPr>
          <w:rFonts w:hint="eastAsia" w:ascii="宋体" w:hAnsi="宋体" w:eastAsia="宋体" w:cs="宋体"/>
          <w:color w:val="auto"/>
          <w:sz w:val="24"/>
          <w:szCs w:val="24"/>
          <w:highlight w:val="none"/>
        </w:rPr>
      </w:pPr>
    </w:p>
    <w:p w14:paraId="7A4A2576">
      <w:pPr>
        <w:spacing w:line="570" w:lineRule="exact"/>
        <w:ind w:right="180" w:firstLine="360"/>
        <w:jc w:val="right"/>
        <w:rPr>
          <w:rFonts w:hint="eastAsia" w:ascii="宋体" w:hAnsi="宋体" w:eastAsia="宋体" w:cs="宋体"/>
          <w:color w:val="auto"/>
          <w:sz w:val="24"/>
          <w:szCs w:val="24"/>
          <w:highlight w:val="none"/>
        </w:rPr>
      </w:pPr>
    </w:p>
    <w:p w14:paraId="469DAFF0">
      <w:pPr>
        <w:spacing w:line="57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2C9685DD">
      <w:pPr>
        <w:spacing w:line="570" w:lineRule="exact"/>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25FC1A8">
      <w:pPr>
        <w:spacing w:line="570" w:lineRule="exact"/>
        <w:rPr>
          <w:rFonts w:hint="eastAsia" w:ascii="宋体" w:hAnsi="宋体" w:eastAsia="宋体" w:cs="宋体"/>
          <w:color w:val="auto"/>
          <w:sz w:val="24"/>
          <w:szCs w:val="24"/>
          <w:highlight w:val="none"/>
        </w:rPr>
      </w:pPr>
    </w:p>
    <w:p w14:paraId="54E3A1FB">
      <w:pPr>
        <w:spacing w:line="570" w:lineRule="exact"/>
        <w:rPr>
          <w:rFonts w:hint="eastAsia" w:ascii="宋体" w:hAnsi="宋体" w:eastAsia="宋体" w:cs="宋体"/>
          <w:b/>
          <w:color w:val="auto"/>
          <w:sz w:val="24"/>
          <w:szCs w:val="24"/>
          <w:highlight w:val="none"/>
        </w:rPr>
      </w:pPr>
    </w:p>
    <w:p w14:paraId="6A0EE3C5">
      <w:pPr>
        <w:spacing w:line="570" w:lineRule="exact"/>
        <w:rPr>
          <w:rFonts w:hint="eastAsia" w:ascii="宋体" w:hAnsi="宋体" w:eastAsia="宋体" w:cs="宋体"/>
          <w:color w:val="auto"/>
          <w:sz w:val="24"/>
          <w:szCs w:val="24"/>
          <w:highlight w:val="none"/>
        </w:rPr>
      </w:pPr>
    </w:p>
    <w:p w14:paraId="539A23C5">
      <w:pPr>
        <w:spacing w:line="570" w:lineRule="exact"/>
        <w:rPr>
          <w:rFonts w:hint="eastAsia" w:ascii="宋体" w:hAnsi="宋体" w:eastAsia="宋体" w:cs="宋体"/>
          <w:color w:val="auto"/>
          <w:sz w:val="24"/>
          <w:szCs w:val="24"/>
          <w:highlight w:val="none"/>
        </w:rPr>
      </w:pPr>
    </w:p>
    <w:p w14:paraId="47B05197">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1C8B55F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2B160358">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w:t>
      </w:r>
      <w:r>
        <w:rPr>
          <w:rFonts w:hint="eastAsia" w:ascii="宋体" w:hAnsi="宋体" w:cs="宋体"/>
          <w:color w:val="auto"/>
          <w:sz w:val="24"/>
          <w:szCs w:val="24"/>
          <w:highlight w:val="none"/>
          <w:lang w:val="en-US" w:eastAsia="zh-CN"/>
        </w:rPr>
        <w:t>SYZB</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C</w:t>
      </w:r>
      <w:r>
        <w:rPr>
          <w:rFonts w:hint="eastAsia" w:ascii="宋体" w:hAnsi="宋体" w:eastAsia="宋体" w:cs="宋体"/>
          <w:color w:val="auto"/>
          <w:sz w:val="24"/>
          <w:szCs w:val="24"/>
          <w:highlight w:val="none"/>
        </w:rPr>
        <w:t>20XX-XX。</w:t>
      </w:r>
    </w:p>
    <w:p w14:paraId="44C7B341">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5B5141A4">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0B0CF1F1">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如XXX</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w:t>
      </w:r>
    </w:p>
    <w:p w14:paraId="33D8870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批发业</w:t>
      </w:r>
      <w:r>
        <w:rPr>
          <w:rFonts w:hint="eastAsia" w:ascii="宋体" w:hAnsi="宋体" w:eastAsia="宋体" w:cs="宋体"/>
          <w:color w:val="auto"/>
          <w:sz w:val="24"/>
          <w:szCs w:val="24"/>
          <w:highlight w:val="none"/>
        </w:rPr>
        <w:t>。</w:t>
      </w:r>
    </w:p>
    <w:p w14:paraId="0FB65792">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供应商的名称</w:t>
      </w:r>
      <w:r>
        <w:rPr>
          <w:rFonts w:hint="eastAsia" w:ascii="宋体" w:hAnsi="宋体" w:eastAsia="宋体" w:cs="宋体"/>
          <w:color w:val="auto"/>
          <w:sz w:val="24"/>
          <w:szCs w:val="24"/>
          <w:highlight w:val="none"/>
        </w:rPr>
        <w:t>，如XXX公司。</w:t>
      </w:r>
    </w:p>
    <w:p w14:paraId="703E4E70">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4201931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4B0F4A2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供应商</w:t>
      </w:r>
      <w:r>
        <w:rPr>
          <w:rFonts w:hint="eastAsia" w:ascii="宋体" w:hAnsi="宋体" w:eastAsia="宋体" w:cs="宋体"/>
          <w:color w:val="auto"/>
          <w:sz w:val="24"/>
          <w:szCs w:val="24"/>
          <w:highlight w:val="none"/>
        </w:rPr>
        <w:t>CA电子公章。</w:t>
      </w:r>
    </w:p>
    <w:p w14:paraId="365ABEBF">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成交结果同时公告，接受社会监督。供应商应当自行核实是否属于中小微企业，并认真填写声明函，若有虚假将追究其责任。</w:t>
      </w:r>
    </w:p>
    <w:p w14:paraId="5936CE18">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12.温馨提示</w:t>
      </w:r>
    </w:p>
    <w:p w14:paraId="1115FCD4">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（1）对于已纳入统计部门统计范围的企业，所属行业、从业人员、营业收入、资产总额、规模类型应与统计部门报表保持一致。</w:t>
      </w:r>
    </w:p>
    <w:p w14:paraId="192EBF7E">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E0FE574">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（3）供应商提供第三方（如制造商）书面声明、检测报告等资料作为</w:t>
      </w:r>
      <w:r>
        <w:rPr>
          <w:rFonts w:hint="eastAsia" w:ascii="宋体" w:hAnsi="宋体" w:cs="宋体"/>
          <w:color w:val="auto"/>
          <w:sz w:val="24"/>
          <w:szCs w:val="24"/>
          <w:highlight w:val="none"/>
          <w:lang w:val="en-US" w:eastAsia="zh-CN"/>
        </w:rPr>
        <w:t>磋商响应</w:t>
      </w:r>
      <w:r>
        <w:rPr>
          <w:rFonts w:hint="eastAsia" w:ascii="宋体" w:hAnsi="宋体" w:eastAsia="宋体" w:cs="宋体"/>
          <w:color w:val="auto"/>
          <w:sz w:val="24"/>
          <w:szCs w:val="24"/>
          <w:highlight w:val="none"/>
        </w:rPr>
        <w:t>文件组成部分的，供应商应保证</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所提供第三方资料内容真实、完整、准确。如相关第三方书面声明、相关检测报告等资料虚假，监管部门有权根据调查情形认定其是否属于提供虚假材料谋取中标，并严肃处理。</w:t>
      </w:r>
    </w:p>
    <w:p w14:paraId="10CE8D57">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（4）对于采购文件确实允许非独立法人参与采购活动的，应按其所属集团公司合并财务报表数据情况予以填报。</w:t>
      </w:r>
    </w:p>
    <w:p w14:paraId="154F6D35">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105EF5A6">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193E78EF">
      <w:pPr>
        <w:pStyle w:val="451"/>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3C99519">
      <w:pPr>
        <w:tabs>
          <w:tab w:val="left" w:pos="5580"/>
        </w:tabs>
        <w:spacing w:line="360" w:lineRule="auto"/>
        <w:outlineLvl w:val="9"/>
        <w:rPr>
          <w:rFonts w:ascii="Times New Roman" w:hAnsi="Times New Roman" w:eastAsia="宋体" w:cs="Times New Roman"/>
          <w:color w:val="auto"/>
          <w:sz w:val="24"/>
          <w:highlight w:val="none"/>
        </w:rPr>
      </w:pPr>
    </w:p>
    <w:p w14:paraId="4AFEEC57">
      <w:pPr>
        <w:spacing w:before="240" w:after="240" w:line="360" w:lineRule="auto"/>
        <w:jc w:val="center"/>
        <w:outlineLvl w:val="9"/>
        <w:rPr>
          <w:rFonts w:hint="eastAsia"/>
          <w:color w:val="auto"/>
          <w:sz w:val="24"/>
          <w:szCs w:val="20"/>
          <w:highlight w:val="none"/>
        </w:rPr>
      </w:pPr>
    </w:p>
    <w:p w14:paraId="3F40A602">
      <w:pPr>
        <w:spacing w:before="240" w:after="240" w:line="360" w:lineRule="auto"/>
        <w:jc w:val="center"/>
        <w:outlineLvl w:val="9"/>
        <w:rPr>
          <w:color w:val="auto"/>
          <w:sz w:val="24"/>
          <w:szCs w:val="20"/>
          <w:highlight w:val="none"/>
        </w:rPr>
        <w:sectPr>
          <w:headerReference r:id="rId11" w:type="first"/>
          <w:footerReference r:id="rId13" w:type="first"/>
          <w:headerReference r:id="rId10" w:type="even"/>
          <w:footerReference r:id="rId12" w:type="even"/>
          <w:pgSz w:w="11907" w:h="16840"/>
          <w:pgMar w:top="1440" w:right="1304" w:bottom="1440" w:left="1304" w:header="851" w:footer="851" w:gutter="0"/>
          <w:pgNumType w:fmt="decimal"/>
          <w:cols w:space="1701" w:num="1"/>
          <w:docGrid w:linePitch="360" w:charSpace="0"/>
        </w:sectPr>
      </w:pPr>
    </w:p>
    <w:p w14:paraId="177060E0">
      <w:pPr>
        <w:jc w:val="center"/>
        <w:outlineLvl w:val="9"/>
        <w:rPr>
          <w:b/>
          <w:color w:val="auto"/>
          <w:sz w:val="36"/>
          <w:szCs w:val="36"/>
          <w:highlight w:val="none"/>
        </w:rPr>
      </w:pPr>
      <w:r>
        <w:rPr>
          <w:rFonts w:hint="eastAsia"/>
          <w:b/>
          <w:color w:val="auto"/>
          <w:sz w:val="36"/>
          <w:szCs w:val="36"/>
          <w:highlight w:val="none"/>
        </w:rPr>
        <w:t>残疾人福利性单位声明函格式</w:t>
      </w:r>
      <w:r>
        <w:rPr>
          <w:b/>
          <w:color w:val="auto"/>
          <w:sz w:val="36"/>
          <w:szCs w:val="36"/>
          <w:highlight w:val="none"/>
        </w:rPr>
        <w:t xml:space="preserve">       </w:t>
      </w:r>
    </w:p>
    <w:p w14:paraId="7F63A389">
      <w:pPr>
        <w:jc w:val="center"/>
        <w:outlineLvl w:val="9"/>
        <w:rPr>
          <w:color w:val="auto"/>
          <w:sz w:val="36"/>
          <w:szCs w:val="36"/>
          <w:highlight w:val="none"/>
        </w:rPr>
      </w:pPr>
    </w:p>
    <w:p w14:paraId="0D224EAB">
      <w:pPr>
        <w:spacing w:line="588" w:lineRule="exact"/>
        <w:ind w:firstLine="504"/>
        <w:outlineLvl w:val="9"/>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41F0F316">
      <w:pPr>
        <w:spacing w:line="588" w:lineRule="exact"/>
        <w:ind w:firstLine="482"/>
        <w:outlineLvl w:val="9"/>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524ECEA">
      <w:pPr>
        <w:spacing w:line="588" w:lineRule="exact"/>
        <w:ind w:firstLine="482"/>
        <w:outlineLvl w:val="9"/>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lang w:eastAsia="zh-CN"/>
        </w:rPr>
        <w:t>，</w:t>
      </w:r>
      <w:r>
        <w:rPr>
          <w:color w:val="auto"/>
          <w:spacing w:val="6"/>
          <w:sz w:val="24"/>
          <w:highlight w:val="none"/>
        </w:rPr>
        <w:t>由本单位提供服务。</w:t>
      </w:r>
    </w:p>
    <w:p w14:paraId="315BC3F2">
      <w:pPr>
        <w:spacing w:line="588" w:lineRule="exact"/>
        <w:ind w:firstLine="506"/>
        <w:outlineLvl w:val="9"/>
        <w:rPr>
          <w:color w:val="auto"/>
          <w:spacing w:val="6"/>
          <w:sz w:val="24"/>
          <w:highlight w:val="none"/>
        </w:rPr>
      </w:pPr>
      <w:r>
        <w:rPr>
          <w:b/>
          <w:color w:val="auto"/>
          <w:spacing w:val="6"/>
          <w:sz w:val="24"/>
          <w:highlight w:val="none"/>
        </w:rPr>
        <w:t>本单位对上述声明的真实性负责。如有虚假，将依法承担相应责任。</w:t>
      </w:r>
    </w:p>
    <w:p w14:paraId="1A76C349">
      <w:pPr>
        <w:spacing w:line="588" w:lineRule="exact"/>
        <w:ind w:firstLine="504"/>
        <w:outlineLvl w:val="9"/>
        <w:rPr>
          <w:color w:val="auto"/>
          <w:spacing w:val="6"/>
          <w:sz w:val="24"/>
          <w:highlight w:val="none"/>
        </w:rPr>
      </w:pPr>
    </w:p>
    <w:p w14:paraId="2610E8EC">
      <w:pPr>
        <w:spacing w:line="588" w:lineRule="exact"/>
        <w:ind w:firstLine="504"/>
        <w:outlineLvl w:val="9"/>
        <w:rPr>
          <w:color w:val="auto"/>
          <w:spacing w:val="6"/>
          <w:sz w:val="24"/>
          <w:highlight w:val="none"/>
        </w:rPr>
      </w:pPr>
    </w:p>
    <w:p w14:paraId="5B848A48">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单位名称（盖章）：</w:t>
      </w:r>
    </w:p>
    <w:p w14:paraId="32C6BB4D">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日  期：</w:t>
      </w:r>
    </w:p>
    <w:p w14:paraId="61E2918D">
      <w:pPr>
        <w:tabs>
          <w:tab w:val="left" w:pos="5580"/>
        </w:tabs>
        <w:spacing w:line="360" w:lineRule="auto"/>
        <w:ind w:firstLine="408"/>
        <w:outlineLvl w:val="9"/>
        <w:rPr>
          <w:color w:val="auto"/>
          <w:sz w:val="24"/>
          <w:szCs w:val="20"/>
          <w:highlight w:val="none"/>
        </w:rPr>
      </w:pPr>
      <w:r>
        <w:rPr>
          <w:color w:val="auto"/>
          <w:sz w:val="24"/>
          <w:szCs w:val="20"/>
          <w:highlight w:val="none"/>
        </w:rPr>
        <w:br w:type="page" w:clear="all"/>
      </w:r>
      <w:r>
        <w:rPr>
          <w:rFonts w:hint="eastAsia"/>
          <w:color w:val="auto"/>
          <w:sz w:val="24"/>
          <w:highlight w:val="none"/>
          <w:lang w:val="en-US" w:eastAsia="zh-CN"/>
        </w:rPr>
        <w:t>4</w:t>
      </w:r>
      <w:r>
        <w:rPr>
          <w:color w:val="auto"/>
          <w:sz w:val="24"/>
          <w:szCs w:val="20"/>
          <w:highlight w:val="none"/>
        </w:rPr>
        <w:t xml:space="preserve">  </w:t>
      </w:r>
      <w:r>
        <w:rPr>
          <w:color w:val="auto"/>
          <w:sz w:val="24"/>
          <w:highlight w:val="none"/>
        </w:rPr>
        <w:t>响应</w:t>
      </w:r>
      <w:r>
        <w:rPr>
          <w:rFonts w:hint="eastAsia"/>
          <w:color w:val="auto"/>
          <w:sz w:val="24"/>
          <w:highlight w:val="none"/>
        </w:rPr>
        <w:t>函</w:t>
      </w:r>
      <w:r>
        <w:rPr>
          <w:color w:val="auto"/>
          <w:sz w:val="24"/>
          <w:szCs w:val="20"/>
          <w:highlight w:val="none"/>
        </w:rPr>
        <w:t>（实质性格式）</w:t>
      </w:r>
    </w:p>
    <w:p w14:paraId="3AD33F61">
      <w:pPr>
        <w:spacing w:line="360" w:lineRule="auto"/>
        <w:jc w:val="center"/>
        <w:outlineLvl w:val="9"/>
        <w:rPr>
          <w:b/>
          <w:color w:val="auto"/>
          <w:sz w:val="36"/>
          <w:szCs w:val="36"/>
          <w:highlight w:val="none"/>
        </w:rPr>
      </w:pPr>
      <w:r>
        <w:rPr>
          <w:rFonts w:hint="eastAsia"/>
          <w:b/>
          <w:color w:val="auto"/>
          <w:sz w:val="36"/>
          <w:szCs w:val="36"/>
          <w:highlight w:val="none"/>
        </w:rPr>
        <w:t>响应函</w:t>
      </w:r>
    </w:p>
    <w:p w14:paraId="4586A798">
      <w:pPr>
        <w:tabs>
          <w:tab w:val="left" w:pos="5580"/>
        </w:tabs>
        <w:spacing w:line="360" w:lineRule="auto"/>
        <w:outlineLvl w:val="9"/>
        <w:rPr>
          <w:color w:val="auto"/>
          <w:sz w:val="24"/>
          <w:highlight w:val="none"/>
        </w:rPr>
      </w:pPr>
      <w:r>
        <w:rPr>
          <w:color w:val="auto"/>
          <w:sz w:val="24"/>
          <w:highlight w:val="none"/>
        </w:rPr>
        <w:t>致：</w:t>
      </w:r>
      <w:r>
        <w:rPr>
          <w:color w:val="auto"/>
          <w:sz w:val="24"/>
          <w:highlight w:val="none"/>
          <w:u w:val="single"/>
        </w:rPr>
        <w:t>（采购人或采购代理机构）</w:t>
      </w:r>
    </w:p>
    <w:p w14:paraId="6139CF38">
      <w:pPr>
        <w:tabs>
          <w:tab w:val="left" w:pos="5580"/>
        </w:tabs>
        <w:spacing w:line="360" w:lineRule="auto"/>
        <w:outlineLvl w:val="9"/>
        <w:rPr>
          <w:color w:val="auto"/>
          <w:sz w:val="24"/>
          <w:szCs w:val="20"/>
          <w:highlight w:val="none"/>
        </w:rPr>
      </w:pPr>
    </w:p>
    <w:p w14:paraId="464A7503">
      <w:pPr>
        <w:tabs>
          <w:tab w:val="left" w:pos="5580"/>
        </w:tabs>
        <w:spacing w:line="360" w:lineRule="auto"/>
        <w:ind w:firstLine="408"/>
        <w:outlineLvl w:val="9"/>
        <w:rPr>
          <w:color w:val="auto"/>
          <w:sz w:val="24"/>
          <w:szCs w:val="20"/>
          <w:highlight w:val="none"/>
        </w:rPr>
      </w:pPr>
      <w:r>
        <w:rPr>
          <w:color w:val="auto"/>
          <w:sz w:val="24"/>
          <w:szCs w:val="20"/>
          <w:highlight w:val="none"/>
        </w:rPr>
        <w:t>我方参加你方就___________（项目名称，项目编号）组织的</w:t>
      </w:r>
      <w:r>
        <w:rPr>
          <w:rFonts w:hint="eastAsia"/>
          <w:color w:val="auto"/>
          <w:sz w:val="24"/>
          <w:szCs w:val="20"/>
          <w:highlight w:val="none"/>
        </w:rPr>
        <w:t>政府采购</w:t>
      </w:r>
      <w:r>
        <w:rPr>
          <w:color w:val="auto"/>
          <w:sz w:val="24"/>
          <w:szCs w:val="20"/>
          <w:highlight w:val="none"/>
        </w:rPr>
        <w:t>活动，并对此项目进行响应。</w:t>
      </w:r>
    </w:p>
    <w:p w14:paraId="3B6BBF24">
      <w:pPr>
        <w:tabs>
          <w:tab w:val="left" w:pos="5580"/>
        </w:tabs>
        <w:spacing w:line="360" w:lineRule="auto"/>
        <w:ind w:firstLine="408"/>
        <w:outlineLvl w:val="9"/>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4F7950ED">
      <w:pPr>
        <w:tabs>
          <w:tab w:val="left" w:pos="720"/>
          <w:tab w:val="left" w:pos="900"/>
        </w:tabs>
        <w:spacing w:line="360" w:lineRule="auto"/>
        <w:ind w:left="360" w:firstLine="72"/>
        <w:outlineLvl w:val="9"/>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w:t>
      </w:r>
      <w:r>
        <w:rPr>
          <w:rFonts w:hint="eastAsia"/>
          <w:color w:val="auto"/>
          <w:sz w:val="24"/>
          <w:szCs w:val="20"/>
          <w:highlight w:val="none"/>
          <w:lang w:eastAsia="zh-CN"/>
        </w:rPr>
        <w:t>天</w:t>
      </w:r>
      <w:r>
        <w:rPr>
          <w:color w:val="auto"/>
          <w:sz w:val="24"/>
          <w:szCs w:val="20"/>
          <w:highlight w:val="none"/>
        </w:rPr>
        <w:t>。</w:t>
      </w:r>
    </w:p>
    <w:p w14:paraId="3423237D">
      <w:pPr>
        <w:tabs>
          <w:tab w:val="left" w:pos="720"/>
          <w:tab w:val="left" w:pos="900"/>
        </w:tabs>
        <w:spacing w:line="360" w:lineRule="auto"/>
        <w:ind w:left="360" w:firstLine="72"/>
        <w:outlineLvl w:val="9"/>
        <w:rPr>
          <w:color w:val="auto"/>
          <w:sz w:val="24"/>
          <w:szCs w:val="20"/>
          <w:highlight w:val="none"/>
        </w:rPr>
      </w:pPr>
      <w:r>
        <w:rPr>
          <w:color w:val="auto"/>
          <w:sz w:val="24"/>
          <w:szCs w:val="20"/>
          <w:highlight w:val="none"/>
        </w:rPr>
        <w:t>（2）除合同条款及采购需求偏离表列出的偏离外，我方响应磋商文件的全部要求。</w:t>
      </w:r>
    </w:p>
    <w:p w14:paraId="4D17C663">
      <w:pPr>
        <w:tabs>
          <w:tab w:val="left" w:pos="5580"/>
        </w:tabs>
        <w:spacing w:line="360" w:lineRule="auto"/>
        <w:ind w:firstLine="420"/>
        <w:outlineLvl w:val="9"/>
        <w:rPr>
          <w:color w:val="auto"/>
          <w:sz w:val="24"/>
          <w:szCs w:val="20"/>
          <w:highlight w:val="none"/>
        </w:rPr>
      </w:pPr>
      <w:r>
        <w:rPr>
          <w:color w:val="auto"/>
          <w:sz w:val="24"/>
          <w:szCs w:val="20"/>
          <w:highlight w:val="none"/>
        </w:rPr>
        <w:t>（3）我方已提供的全部文件资料是真实、准确的，并对此承担一切法律后果。</w:t>
      </w:r>
    </w:p>
    <w:p w14:paraId="112214BC">
      <w:pPr>
        <w:tabs>
          <w:tab w:val="left" w:pos="5580"/>
        </w:tabs>
        <w:spacing w:line="360" w:lineRule="auto"/>
        <w:ind w:firstLine="420"/>
        <w:outlineLvl w:val="9"/>
        <w:rPr>
          <w:color w:val="auto"/>
          <w:sz w:val="24"/>
          <w:highlight w:val="none"/>
        </w:rPr>
      </w:pPr>
      <w:r>
        <w:rPr>
          <w:color w:val="auto"/>
          <w:sz w:val="24"/>
          <w:szCs w:val="20"/>
          <w:highlight w:val="none"/>
        </w:rPr>
        <w:t>（4）如我方</w:t>
      </w:r>
      <w:r>
        <w:rPr>
          <w:rFonts w:hint="eastAsia"/>
          <w:color w:val="auto"/>
          <w:sz w:val="24"/>
          <w:szCs w:val="20"/>
          <w:highlight w:val="none"/>
          <w:lang w:val="en-US" w:eastAsia="zh-CN"/>
        </w:rPr>
        <w:t>成交</w:t>
      </w:r>
      <w:r>
        <w:rPr>
          <w:color w:val="auto"/>
          <w:sz w:val="24"/>
          <w:szCs w:val="20"/>
          <w:highlight w:val="none"/>
        </w:rPr>
        <w:t>，我方将在法律规定的期限内与你方签订合同，并在合同约定的期限内完成合同规定的全部义务。</w:t>
      </w:r>
    </w:p>
    <w:p w14:paraId="6C1727CD">
      <w:pPr>
        <w:spacing w:line="360" w:lineRule="auto"/>
        <w:ind w:left="420"/>
        <w:outlineLvl w:val="9"/>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2E1C4BBA">
      <w:pPr>
        <w:spacing w:line="360" w:lineRule="auto"/>
        <w:ind w:firstLine="480"/>
        <w:outlineLvl w:val="9"/>
        <w:rPr>
          <w:color w:val="auto"/>
          <w:sz w:val="24"/>
          <w:highlight w:val="none"/>
        </w:rPr>
      </w:pPr>
      <w:r>
        <w:rPr>
          <w:color w:val="auto"/>
          <w:sz w:val="24"/>
          <w:highlight w:val="none"/>
        </w:rPr>
        <w:t>与本响应有关的一切正式往来信函请寄：</w:t>
      </w:r>
    </w:p>
    <w:p w14:paraId="4402FAC3">
      <w:pPr>
        <w:tabs>
          <w:tab w:val="left" w:pos="5580"/>
        </w:tabs>
        <w:spacing w:line="360" w:lineRule="auto"/>
        <w:ind w:left="420"/>
        <w:outlineLvl w:val="9"/>
        <w:rPr>
          <w:color w:val="auto"/>
          <w:sz w:val="24"/>
          <w:szCs w:val="20"/>
          <w:highlight w:val="none"/>
        </w:rPr>
      </w:pPr>
    </w:p>
    <w:p w14:paraId="604D1A63">
      <w:pPr>
        <w:tabs>
          <w:tab w:val="left" w:pos="5580"/>
        </w:tabs>
        <w:spacing w:line="360" w:lineRule="auto"/>
        <w:ind w:left="420"/>
        <w:outlineLvl w:val="9"/>
        <w:rPr>
          <w:color w:val="auto"/>
          <w:sz w:val="24"/>
          <w:szCs w:val="20"/>
          <w:highlight w:val="none"/>
        </w:rPr>
      </w:pPr>
      <w:r>
        <w:rPr>
          <w:color w:val="auto"/>
          <w:sz w:val="24"/>
          <w:szCs w:val="20"/>
          <w:highlight w:val="none"/>
        </w:rPr>
        <w:t>地址_________________________     传真____________________________</w:t>
      </w:r>
    </w:p>
    <w:p w14:paraId="52BD0DDB">
      <w:pPr>
        <w:tabs>
          <w:tab w:val="left" w:pos="5580"/>
        </w:tabs>
        <w:spacing w:line="360" w:lineRule="auto"/>
        <w:ind w:left="420"/>
        <w:outlineLvl w:val="9"/>
        <w:rPr>
          <w:color w:val="auto"/>
          <w:sz w:val="24"/>
          <w:szCs w:val="20"/>
          <w:highlight w:val="none"/>
        </w:rPr>
      </w:pPr>
      <w:r>
        <w:rPr>
          <w:color w:val="auto"/>
          <w:sz w:val="24"/>
          <w:szCs w:val="20"/>
          <w:highlight w:val="none"/>
        </w:rPr>
        <w:t>电话_________________________     电子函件________________________</w:t>
      </w:r>
    </w:p>
    <w:p w14:paraId="6B9B4D8A">
      <w:pPr>
        <w:tabs>
          <w:tab w:val="left" w:pos="5580"/>
        </w:tabs>
        <w:spacing w:line="360" w:lineRule="auto"/>
        <w:ind w:left="420"/>
        <w:outlineLvl w:val="9"/>
        <w:rPr>
          <w:color w:val="auto"/>
          <w:sz w:val="24"/>
          <w:szCs w:val="20"/>
          <w:highlight w:val="none"/>
        </w:rPr>
      </w:pPr>
    </w:p>
    <w:p w14:paraId="053C345A">
      <w:pPr>
        <w:tabs>
          <w:tab w:val="left" w:pos="5580"/>
        </w:tabs>
        <w:spacing w:line="360" w:lineRule="auto"/>
        <w:ind w:left="420"/>
        <w:outlineLvl w:val="9"/>
        <w:rPr>
          <w:color w:val="auto"/>
          <w:sz w:val="24"/>
          <w:szCs w:val="20"/>
          <w:highlight w:val="none"/>
        </w:rPr>
      </w:pPr>
      <w:r>
        <w:rPr>
          <w:color w:val="auto"/>
          <w:sz w:val="24"/>
          <w:szCs w:val="20"/>
          <w:highlight w:val="none"/>
        </w:rPr>
        <w:t>供应商名称（加盖公章） ___________</w:t>
      </w:r>
    </w:p>
    <w:p w14:paraId="7D05C600">
      <w:pPr>
        <w:tabs>
          <w:tab w:val="left" w:pos="5580"/>
        </w:tabs>
        <w:spacing w:line="360" w:lineRule="auto"/>
        <w:ind w:left="420"/>
        <w:outlineLvl w:val="9"/>
        <w:rPr>
          <w:color w:val="auto"/>
          <w:sz w:val="24"/>
          <w:szCs w:val="20"/>
          <w:highlight w:val="none"/>
        </w:rPr>
      </w:pPr>
      <w:r>
        <w:rPr>
          <w:color w:val="auto"/>
          <w:sz w:val="24"/>
          <w:szCs w:val="20"/>
          <w:highlight w:val="none"/>
        </w:rPr>
        <w:t xml:space="preserve">日期：_____年______月______日    </w:t>
      </w:r>
    </w:p>
    <w:p w14:paraId="27A35C68">
      <w:pPr>
        <w:tabs>
          <w:tab w:val="left" w:pos="5580"/>
        </w:tabs>
        <w:spacing w:line="360" w:lineRule="auto"/>
        <w:ind w:left="420"/>
        <w:outlineLvl w:val="9"/>
        <w:rPr>
          <w:color w:val="auto"/>
          <w:sz w:val="24"/>
          <w:szCs w:val="20"/>
          <w:highlight w:val="none"/>
          <w:u w:val="single"/>
        </w:rPr>
      </w:pPr>
    </w:p>
    <w:p w14:paraId="593835AB">
      <w:pPr>
        <w:widowControl/>
        <w:jc w:val="left"/>
        <w:outlineLvl w:val="9"/>
        <w:rPr>
          <w:rFonts w:hint="eastAsia"/>
          <w:color w:val="auto"/>
          <w:sz w:val="24"/>
          <w:highlight w:val="none"/>
        </w:rPr>
      </w:pPr>
      <w:bookmarkStart w:id="630" w:name="_Hlt520355938"/>
      <w:bookmarkEnd w:id="630"/>
      <w:bookmarkStart w:id="631" w:name="_Hlt520356243"/>
      <w:bookmarkEnd w:id="631"/>
      <w:r>
        <w:rPr>
          <w:color w:val="auto"/>
          <w:sz w:val="24"/>
          <w:highlight w:val="none"/>
        </w:rPr>
        <w:br w:type="page" w:clear="all"/>
      </w:r>
      <w:r>
        <w:rPr>
          <w:rFonts w:hint="eastAsia"/>
          <w:color w:val="auto"/>
          <w:sz w:val="24"/>
          <w:highlight w:val="none"/>
          <w:lang w:val="en-US" w:eastAsia="zh-CN"/>
        </w:rPr>
        <w:t>5</w:t>
      </w:r>
      <w:r>
        <w:rPr>
          <w:color w:val="auto"/>
          <w:sz w:val="24"/>
          <w:highlight w:val="none"/>
        </w:rPr>
        <w:t xml:space="preserve">  </w:t>
      </w:r>
      <w:r>
        <w:rPr>
          <w:rFonts w:hint="eastAsia"/>
          <w:color w:val="auto"/>
          <w:sz w:val="24"/>
          <w:highlight w:val="none"/>
        </w:rPr>
        <w:t>法定代表人资格证明书</w:t>
      </w:r>
      <w:r>
        <w:rPr>
          <w:color w:val="auto"/>
          <w:sz w:val="24"/>
          <w:szCs w:val="20"/>
          <w:highlight w:val="none"/>
        </w:rPr>
        <w:t>（实质性格式）</w:t>
      </w:r>
    </w:p>
    <w:p w14:paraId="79EDA840">
      <w:pPr>
        <w:spacing w:line="360" w:lineRule="auto"/>
        <w:jc w:val="center"/>
        <w:outlineLvl w:val="9"/>
        <w:rPr>
          <w:rFonts w:hint="eastAsia" w:ascii="宋体" w:hAnsi="宋体"/>
          <w:b/>
          <w:color w:val="auto"/>
          <w:sz w:val="32"/>
          <w:szCs w:val="32"/>
          <w:highlight w:val="none"/>
        </w:rPr>
      </w:pPr>
    </w:p>
    <w:p w14:paraId="79C93735">
      <w:pPr>
        <w:spacing w:line="360" w:lineRule="auto"/>
        <w:jc w:val="center"/>
        <w:outlineLvl w:val="9"/>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5DD8624">
      <w:pPr>
        <w:spacing w:line="560" w:lineRule="exact"/>
        <w:outlineLvl w:val="9"/>
        <w:rPr>
          <w:rFonts w:ascii="宋体" w:hAnsi="宋体"/>
          <w:color w:val="auto"/>
          <w:sz w:val="24"/>
          <w:highlight w:val="none"/>
        </w:rPr>
      </w:pPr>
      <w:r>
        <w:rPr>
          <w:rFonts w:hint="eastAsia" w:ascii="宋体" w:hAnsi="宋体"/>
          <w:color w:val="auto"/>
          <w:sz w:val="24"/>
          <w:highlight w:val="none"/>
        </w:rPr>
        <w:t>单位名称:</w:t>
      </w:r>
    </w:p>
    <w:p w14:paraId="178C45F2">
      <w:pPr>
        <w:spacing w:line="560" w:lineRule="exact"/>
        <w:outlineLvl w:val="9"/>
        <w:rPr>
          <w:rFonts w:ascii="宋体" w:hAnsi="宋体"/>
          <w:color w:val="auto"/>
          <w:sz w:val="24"/>
          <w:highlight w:val="none"/>
        </w:rPr>
      </w:pPr>
      <w:r>
        <w:rPr>
          <w:rFonts w:hint="eastAsia" w:ascii="宋体" w:hAnsi="宋体"/>
          <w:color w:val="auto"/>
          <w:sz w:val="24"/>
          <w:highlight w:val="none"/>
        </w:rPr>
        <w:t>地址:</w:t>
      </w:r>
    </w:p>
    <w:p w14:paraId="46BE4807">
      <w:pPr>
        <w:spacing w:line="560" w:lineRule="exact"/>
        <w:outlineLvl w:val="9"/>
        <w:rPr>
          <w:rFonts w:ascii="宋体" w:hAnsi="宋体"/>
          <w:color w:val="auto"/>
          <w:sz w:val="24"/>
          <w:highlight w:val="none"/>
        </w:rPr>
      </w:pPr>
      <w:r>
        <w:rPr>
          <w:rFonts w:hint="eastAsia" w:ascii="宋体" w:hAnsi="宋体"/>
          <w:color w:val="auto"/>
          <w:sz w:val="24"/>
          <w:highlight w:val="none"/>
        </w:rPr>
        <w:t>姓名:     性别:       年龄:      职务:</w:t>
      </w:r>
    </w:p>
    <w:p w14:paraId="40B28D58">
      <w:pPr>
        <w:spacing w:line="560" w:lineRule="exact"/>
        <w:outlineLvl w:val="9"/>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供应商</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w:t>
      </w:r>
      <w:r>
        <w:rPr>
          <w:rFonts w:hint="eastAsia" w:ascii="宋体" w:hAnsi="宋体"/>
          <w:color w:val="auto"/>
          <w:sz w:val="24"/>
          <w:highlight w:val="none"/>
          <w:lang w:eastAsia="zh-CN"/>
        </w:rPr>
        <w:t>磋商响应</w:t>
      </w:r>
      <w:r>
        <w:rPr>
          <w:rFonts w:hint="eastAsia" w:ascii="宋体" w:hAnsi="宋体"/>
          <w:color w:val="auto"/>
          <w:sz w:val="24"/>
          <w:highlight w:val="none"/>
        </w:rPr>
        <w:t>文件、进行合同谈判、签署合同和处理与之有关的一切事务。</w:t>
      </w:r>
    </w:p>
    <w:p w14:paraId="288289A1">
      <w:pPr>
        <w:spacing w:line="560" w:lineRule="exact"/>
        <w:outlineLvl w:val="9"/>
        <w:rPr>
          <w:rFonts w:ascii="宋体" w:hAnsi="宋体"/>
          <w:color w:val="auto"/>
          <w:sz w:val="24"/>
          <w:highlight w:val="none"/>
        </w:rPr>
      </w:pPr>
      <w:r>
        <w:rPr>
          <w:rFonts w:hint="eastAsia" w:ascii="宋体" w:hAnsi="宋体"/>
          <w:color w:val="auto"/>
          <w:sz w:val="24"/>
          <w:highlight w:val="none"/>
        </w:rPr>
        <w:t>特此证明。</w:t>
      </w:r>
    </w:p>
    <w:p w14:paraId="6A685F1E">
      <w:pPr>
        <w:spacing w:line="560" w:lineRule="exact"/>
        <w:outlineLvl w:val="9"/>
        <w:rPr>
          <w:rFonts w:ascii="宋体" w:hAnsi="宋体"/>
          <w:color w:val="auto"/>
          <w:sz w:val="24"/>
          <w:highlight w:val="none"/>
        </w:rPr>
      </w:pPr>
    </w:p>
    <w:p w14:paraId="3557F6D1">
      <w:pPr>
        <w:pStyle w:val="222"/>
        <w:spacing w:line="583" w:lineRule="auto"/>
        <w:ind w:right="-46"/>
        <w:outlineLvl w:val="9"/>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lang w:val="en-US" w:eastAsia="zh-CN"/>
        </w:rPr>
        <w:t>电子件</w:t>
      </w:r>
      <w:r>
        <w:rPr>
          <w:rFonts w:hint="eastAsia"/>
          <w:color w:val="auto"/>
          <w:spacing w:val="-3"/>
          <w:highlight w:val="none"/>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F081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4E9A5CCE">
            <w:pPr>
              <w:tabs>
                <w:tab w:val="left" w:pos="5580"/>
              </w:tabs>
              <w:spacing w:line="360" w:lineRule="auto"/>
              <w:jc w:val="left"/>
              <w:outlineLvl w:val="9"/>
              <w:rPr>
                <w:rFonts w:ascii="宋体" w:hAnsi="宋体"/>
                <w:color w:val="auto"/>
                <w:sz w:val="24"/>
                <w:szCs w:val="20"/>
                <w:highlight w:val="none"/>
              </w:rPr>
            </w:pPr>
          </w:p>
          <w:p w14:paraId="21734ED3">
            <w:pPr>
              <w:tabs>
                <w:tab w:val="left" w:pos="5580"/>
              </w:tabs>
              <w:spacing w:line="360" w:lineRule="auto"/>
              <w:jc w:val="left"/>
              <w:outlineLvl w:val="9"/>
              <w:rPr>
                <w:rFonts w:ascii="宋体" w:hAnsi="宋体"/>
                <w:color w:val="auto"/>
                <w:sz w:val="24"/>
                <w:szCs w:val="20"/>
                <w:highlight w:val="none"/>
              </w:rPr>
            </w:pPr>
          </w:p>
          <w:p w14:paraId="13C677EC">
            <w:pPr>
              <w:tabs>
                <w:tab w:val="left" w:pos="5580"/>
              </w:tabs>
              <w:spacing w:line="360" w:lineRule="auto"/>
              <w:jc w:val="left"/>
              <w:outlineLvl w:val="9"/>
              <w:rPr>
                <w:rFonts w:ascii="宋体" w:hAnsi="宋体"/>
                <w:color w:val="auto"/>
                <w:sz w:val="24"/>
                <w:szCs w:val="20"/>
                <w:highlight w:val="none"/>
              </w:rPr>
            </w:pPr>
          </w:p>
        </w:tc>
        <w:tc>
          <w:tcPr>
            <w:tcW w:w="4536" w:type="dxa"/>
            <w:noWrap w:val="0"/>
            <w:vAlign w:val="top"/>
          </w:tcPr>
          <w:p w14:paraId="3ABF9DAD">
            <w:pPr>
              <w:tabs>
                <w:tab w:val="left" w:pos="5580"/>
              </w:tabs>
              <w:spacing w:line="360" w:lineRule="auto"/>
              <w:jc w:val="left"/>
              <w:outlineLvl w:val="9"/>
              <w:rPr>
                <w:rFonts w:ascii="宋体" w:hAnsi="宋体"/>
                <w:color w:val="auto"/>
                <w:sz w:val="24"/>
                <w:szCs w:val="20"/>
                <w:highlight w:val="none"/>
              </w:rPr>
            </w:pPr>
          </w:p>
          <w:p w14:paraId="109669A2">
            <w:pPr>
              <w:tabs>
                <w:tab w:val="left" w:pos="5580"/>
              </w:tabs>
              <w:spacing w:line="360" w:lineRule="auto"/>
              <w:jc w:val="left"/>
              <w:outlineLvl w:val="9"/>
              <w:rPr>
                <w:rFonts w:ascii="宋体" w:hAnsi="宋体"/>
                <w:color w:val="auto"/>
                <w:sz w:val="24"/>
                <w:szCs w:val="20"/>
                <w:highlight w:val="none"/>
              </w:rPr>
            </w:pPr>
          </w:p>
          <w:p w14:paraId="10FF5247">
            <w:pPr>
              <w:tabs>
                <w:tab w:val="left" w:pos="5580"/>
              </w:tabs>
              <w:spacing w:line="360" w:lineRule="auto"/>
              <w:jc w:val="left"/>
              <w:outlineLvl w:val="9"/>
              <w:rPr>
                <w:rFonts w:ascii="宋体" w:hAnsi="宋体"/>
                <w:color w:val="auto"/>
                <w:sz w:val="24"/>
                <w:szCs w:val="20"/>
                <w:highlight w:val="none"/>
              </w:rPr>
            </w:pPr>
          </w:p>
        </w:tc>
      </w:tr>
    </w:tbl>
    <w:p w14:paraId="24BEED5E">
      <w:pPr>
        <w:spacing w:line="560" w:lineRule="exact"/>
        <w:outlineLvl w:val="9"/>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供应商</w:t>
      </w:r>
      <w:r>
        <w:rPr>
          <w:rFonts w:hint="eastAsia" w:ascii="宋体" w:hAnsi="宋体"/>
          <w:color w:val="auto"/>
          <w:sz w:val="24"/>
          <w:highlight w:val="none"/>
        </w:rPr>
        <w:t>：（加盖公章）</w:t>
      </w:r>
    </w:p>
    <w:p w14:paraId="42D7F76F">
      <w:pPr>
        <w:spacing w:line="560" w:lineRule="exact"/>
        <w:outlineLvl w:val="9"/>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lang w:eastAsia="zh-CN"/>
        </w:rPr>
        <w:t>或</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1729223A">
      <w:pPr>
        <w:spacing w:line="560" w:lineRule="exact"/>
        <w:ind w:firstLine="4320"/>
        <w:outlineLvl w:val="9"/>
        <w:rPr>
          <w:rFonts w:ascii="宋体" w:hAnsi="宋体"/>
          <w:color w:val="auto"/>
          <w:sz w:val="24"/>
          <w:highlight w:val="none"/>
        </w:rPr>
      </w:pPr>
      <w:r>
        <w:rPr>
          <w:rFonts w:hint="eastAsia" w:ascii="宋体" w:hAnsi="宋体"/>
          <w:color w:val="auto"/>
          <w:sz w:val="24"/>
          <w:highlight w:val="none"/>
        </w:rPr>
        <w:t>日期：    年    月    日</w:t>
      </w:r>
    </w:p>
    <w:p w14:paraId="5FE81A1D">
      <w:pPr>
        <w:widowControl/>
        <w:jc w:val="left"/>
        <w:outlineLvl w:val="9"/>
        <w:rPr>
          <w:rFonts w:hint="eastAsia"/>
          <w:color w:val="auto"/>
          <w:sz w:val="24"/>
          <w:highlight w:val="none"/>
        </w:rPr>
      </w:pPr>
    </w:p>
    <w:p w14:paraId="7800B517">
      <w:pPr>
        <w:widowControl/>
        <w:jc w:val="left"/>
        <w:outlineLvl w:val="9"/>
        <w:rPr>
          <w:rFonts w:hint="eastAsia"/>
          <w:color w:val="auto"/>
          <w:sz w:val="24"/>
          <w:highlight w:val="none"/>
        </w:rPr>
      </w:pPr>
    </w:p>
    <w:p w14:paraId="4457DEDC">
      <w:pPr>
        <w:widowControl/>
        <w:jc w:val="left"/>
        <w:outlineLvl w:val="9"/>
        <w:rPr>
          <w:rFonts w:hint="eastAsia"/>
          <w:color w:val="auto"/>
          <w:sz w:val="24"/>
          <w:highlight w:val="none"/>
        </w:rPr>
      </w:pPr>
    </w:p>
    <w:p w14:paraId="6F0B8A21">
      <w:pPr>
        <w:tabs>
          <w:tab w:val="left" w:pos="5580"/>
        </w:tabs>
        <w:spacing w:line="360" w:lineRule="auto"/>
        <w:jc w:val="left"/>
        <w:outlineLvl w:val="9"/>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3E7C15D8">
      <w:pPr>
        <w:tabs>
          <w:tab w:val="left" w:pos="5580"/>
        </w:tabs>
        <w:spacing w:line="360" w:lineRule="auto"/>
        <w:jc w:val="left"/>
        <w:outlineLvl w:val="9"/>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lang w:eastAsia="zh-CN"/>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lang w:eastAsia="zh-CN"/>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1AD4B7EA">
      <w:pPr>
        <w:pStyle w:val="222"/>
        <w:outlineLvl w:val="9"/>
        <w:rPr>
          <w:color w:val="auto"/>
          <w:highlight w:val="none"/>
        </w:rPr>
      </w:pPr>
    </w:p>
    <w:p w14:paraId="00B97BF4">
      <w:pPr>
        <w:widowControl/>
        <w:jc w:val="left"/>
        <w:outlineLvl w:val="9"/>
        <w:rPr>
          <w:rFonts w:hint="eastAsia"/>
          <w:color w:val="auto"/>
          <w:sz w:val="24"/>
          <w:highlight w:val="none"/>
        </w:rPr>
      </w:pPr>
    </w:p>
    <w:p w14:paraId="31EF1B5E">
      <w:pPr>
        <w:widowControl/>
        <w:jc w:val="left"/>
        <w:outlineLvl w:val="9"/>
        <w:rPr>
          <w:rFonts w:hint="eastAsia"/>
          <w:color w:val="auto"/>
          <w:sz w:val="24"/>
          <w:highlight w:val="none"/>
          <w:lang w:val="en-US" w:eastAsia="zh-CN"/>
        </w:rPr>
      </w:pPr>
    </w:p>
    <w:p w14:paraId="39266C53">
      <w:pPr>
        <w:widowControl/>
        <w:jc w:val="left"/>
        <w:outlineLvl w:val="9"/>
        <w:rPr>
          <w:rFonts w:hint="eastAsia"/>
          <w:color w:val="auto"/>
          <w:sz w:val="24"/>
          <w:highlight w:val="none"/>
        </w:rPr>
      </w:pPr>
      <w:r>
        <w:rPr>
          <w:color w:val="auto"/>
          <w:sz w:val="24"/>
          <w:highlight w:val="none"/>
        </w:rPr>
        <w:br w:type="page" w:clear="all"/>
      </w:r>
      <w:r>
        <w:rPr>
          <w:rFonts w:hint="eastAsia"/>
          <w:color w:val="auto"/>
          <w:sz w:val="24"/>
          <w:highlight w:val="none"/>
          <w:lang w:val="en-US" w:eastAsia="zh-CN"/>
        </w:rPr>
        <w:t>6</w:t>
      </w:r>
      <w:r>
        <w:rPr>
          <w:rFonts w:hint="eastAsia"/>
          <w:color w:val="auto"/>
          <w:sz w:val="24"/>
          <w:highlight w:val="none"/>
        </w:rPr>
        <w:t xml:space="preserve">  政府采购供应商信用承诺书</w:t>
      </w:r>
      <w:r>
        <w:rPr>
          <w:color w:val="auto"/>
          <w:sz w:val="24"/>
          <w:szCs w:val="20"/>
          <w:highlight w:val="none"/>
        </w:rPr>
        <w:t>（实质性格式）</w:t>
      </w:r>
    </w:p>
    <w:p w14:paraId="7428E4B4">
      <w:pPr>
        <w:spacing w:line="560" w:lineRule="exact"/>
        <w:ind w:firstLine="321"/>
        <w:jc w:val="center"/>
        <w:outlineLvl w:val="9"/>
        <w:rPr>
          <w:rFonts w:hint="eastAsia" w:ascii="黑体" w:hAnsi="黑体" w:eastAsia="黑体"/>
          <w:b/>
          <w:color w:val="auto"/>
          <w:sz w:val="32"/>
          <w:szCs w:val="32"/>
          <w:highlight w:val="none"/>
        </w:rPr>
      </w:pPr>
    </w:p>
    <w:p w14:paraId="0E8ED442">
      <w:pPr>
        <w:spacing w:line="560" w:lineRule="exact"/>
        <w:ind w:firstLine="321"/>
        <w:jc w:val="center"/>
        <w:outlineLvl w:val="9"/>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2F3C56F9">
      <w:pPr>
        <w:ind w:firstLine="640"/>
        <w:outlineLvl w:val="9"/>
        <w:rPr>
          <w:color w:val="auto"/>
          <w:highlight w:val="none"/>
        </w:rPr>
      </w:pPr>
    </w:p>
    <w:p w14:paraId="211899B6">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6C384A6E">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6F488E65">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A23B9E3">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分</w:t>
      </w:r>
      <w:r>
        <w:rPr>
          <w:rFonts w:hint="eastAsia" w:ascii="宋体" w:hAnsi="宋体"/>
          <w:color w:val="auto"/>
          <w:sz w:val="24"/>
          <w:highlight w:val="none"/>
        </w:rPr>
        <w:t>，并对所提供资料的真实性负责。</w:t>
      </w:r>
    </w:p>
    <w:p w14:paraId="69E7EF01">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76CFA3BF">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3A90CFA5">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2DDEB9E7">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06534662">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2DB5D43B">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63332D63">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32116A69">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1DCE9998">
      <w:pPr>
        <w:pStyle w:val="293"/>
        <w:spacing w:line="276" w:lineRule="auto"/>
        <w:ind w:right="1050" w:firstLine="2880"/>
        <w:jc w:val="both"/>
        <w:outlineLvl w:val="9"/>
        <w:rPr>
          <w:rFonts w:ascii="宋体" w:hAnsi="宋体" w:eastAsia="宋体"/>
          <w:color w:val="auto"/>
          <w:sz w:val="24"/>
          <w:szCs w:val="22"/>
          <w:highlight w:val="none"/>
        </w:rPr>
      </w:pPr>
    </w:p>
    <w:p w14:paraId="064FF7C2">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5B463D4B">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79579C7B">
      <w:pPr>
        <w:spacing w:line="360" w:lineRule="auto"/>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7</w:t>
      </w:r>
      <w:r>
        <w:rPr>
          <w:color w:val="auto"/>
          <w:sz w:val="24"/>
          <w:szCs w:val="20"/>
          <w:highlight w:val="none"/>
        </w:rPr>
        <w:t xml:space="preserve">  报价一览表</w:t>
      </w:r>
    </w:p>
    <w:p w14:paraId="3495CB37">
      <w:pPr>
        <w:jc w:val="center"/>
        <w:outlineLvl w:val="9"/>
        <w:rPr>
          <w:b/>
          <w:color w:val="auto"/>
          <w:sz w:val="36"/>
          <w:szCs w:val="36"/>
          <w:highlight w:val="none"/>
        </w:rPr>
      </w:pPr>
      <w:r>
        <w:rPr>
          <w:rFonts w:hint="eastAsia"/>
          <w:b/>
          <w:color w:val="auto"/>
          <w:sz w:val="36"/>
          <w:szCs w:val="36"/>
          <w:highlight w:val="none"/>
        </w:rPr>
        <w:t>报价一览表</w:t>
      </w:r>
    </w:p>
    <w:p w14:paraId="097B07AB">
      <w:pPr>
        <w:tabs>
          <w:tab w:val="left" w:pos="1800"/>
          <w:tab w:val="left" w:pos="5580"/>
        </w:tabs>
        <w:spacing w:line="360" w:lineRule="auto"/>
        <w:jc w:val="left"/>
        <w:outlineLvl w:val="9"/>
        <w:rPr>
          <w:color w:val="auto"/>
          <w:sz w:val="24"/>
          <w:highlight w:val="none"/>
        </w:rPr>
      </w:pPr>
    </w:p>
    <w:p w14:paraId="1E8B983B">
      <w:pPr>
        <w:tabs>
          <w:tab w:val="left" w:pos="1800"/>
          <w:tab w:val="left" w:pos="5580"/>
        </w:tabs>
        <w:spacing w:line="360" w:lineRule="auto"/>
        <w:ind w:firstLine="240"/>
        <w:jc w:val="left"/>
        <w:outlineLvl w:val="9"/>
        <w:rPr>
          <w:color w:val="auto"/>
          <w:sz w:val="24"/>
          <w:highlight w:val="none"/>
          <w:u w:val="single"/>
        </w:rPr>
      </w:pPr>
      <w:r>
        <w:rPr>
          <w:color w:val="auto"/>
          <w:sz w:val="24"/>
          <w:highlight w:val="none"/>
        </w:rPr>
        <w:t>项目编号：_____________________     项目名称：_______________________</w:t>
      </w:r>
    </w:p>
    <w:p w14:paraId="0BCFB83F">
      <w:pPr>
        <w:jc w:val="left"/>
        <w:outlineLvl w:val="9"/>
        <w:rPr>
          <w:color w:val="auto"/>
          <w:sz w:val="24"/>
          <w:highlight w:val="none"/>
        </w:rPr>
      </w:pPr>
    </w:p>
    <w:tbl>
      <w:tblPr>
        <w:tblStyle w:val="36"/>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3"/>
        <w:gridCol w:w="2141"/>
        <w:gridCol w:w="5574"/>
      </w:tblGrid>
      <w:tr w14:paraId="7797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5" w:hRule="atLeast"/>
          <w:jc w:val="center"/>
        </w:trPr>
        <w:tc>
          <w:tcPr>
            <w:tcW w:w="412" w:type="pct"/>
            <w:vAlign w:val="center"/>
          </w:tcPr>
          <w:p w14:paraId="3A618D1F">
            <w:pPr>
              <w:tabs>
                <w:tab w:val="left" w:pos="5580"/>
              </w:tabs>
              <w:jc w:val="center"/>
              <w:rPr>
                <w:rFonts w:ascii="Calibri" w:hAnsi="Calibri" w:eastAsia="Arial" w:cs="Arial"/>
                <w:b/>
                <w:color w:val="auto"/>
                <w:sz w:val="24"/>
                <w:szCs w:val="22"/>
                <w:highlight w:val="none"/>
              </w:rPr>
            </w:pPr>
            <w:r>
              <w:rPr>
                <w:rFonts w:ascii="Calibri" w:hAnsi="Calibri" w:eastAsia="Arial" w:cs="Arial"/>
                <w:b/>
                <w:color w:val="auto"/>
                <w:sz w:val="24"/>
                <w:szCs w:val="22"/>
                <w:highlight w:val="none"/>
              </w:rPr>
              <w:t>序号</w:t>
            </w:r>
          </w:p>
        </w:tc>
        <w:tc>
          <w:tcPr>
            <w:tcW w:w="1273" w:type="pct"/>
            <w:vAlign w:val="center"/>
          </w:tcPr>
          <w:p w14:paraId="12E20B79">
            <w:pPr>
              <w:tabs>
                <w:tab w:val="left" w:pos="5580"/>
              </w:tabs>
              <w:jc w:val="center"/>
              <w:rPr>
                <w:rFonts w:ascii="Calibri" w:hAnsi="Calibri" w:eastAsia="Arial" w:cs="Arial"/>
                <w:b/>
                <w:color w:val="auto"/>
                <w:sz w:val="24"/>
                <w:szCs w:val="22"/>
                <w:highlight w:val="none"/>
              </w:rPr>
            </w:pPr>
            <w:r>
              <w:rPr>
                <w:rFonts w:hint="eastAsia" w:ascii="Calibri" w:hAnsi="Calibri" w:eastAsia="宋体" w:cs="Arial"/>
                <w:b/>
                <w:color w:val="auto"/>
                <w:sz w:val="24"/>
                <w:szCs w:val="22"/>
                <w:highlight w:val="none"/>
                <w:lang w:val="en-US" w:eastAsia="zh-CN"/>
              </w:rPr>
              <w:t>供应商</w:t>
            </w:r>
            <w:r>
              <w:rPr>
                <w:rFonts w:ascii="Calibri" w:hAnsi="Calibri" w:eastAsia="Arial" w:cs="Arial"/>
                <w:b/>
                <w:color w:val="auto"/>
                <w:sz w:val="24"/>
                <w:szCs w:val="22"/>
                <w:highlight w:val="none"/>
              </w:rPr>
              <w:t>名称</w:t>
            </w:r>
          </w:p>
        </w:tc>
        <w:tc>
          <w:tcPr>
            <w:tcW w:w="3314" w:type="pct"/>
            <w:vAlign w:val="center"/>
          </w:tcPr>
          <w:p w14:paraId="33443B85">
            <w:pPr>
              <w:tabs>
                <w:tab w:val="left" w:pos="5580"/>
              </w:tabs>
              <w:jc w:val="center"/>
              <w:rPr>
                <w:rFonts w:ascii="Calibri" w:hAnsi="Calibri" w:eastAsia="Arial" w:cs="Arial"/>
                <w:b/>
                <w:color w:val="auto"/>
                <w:sz w:val="24"/>
                <w:szCs w:val="22"/>
                <w:highlight w:val="none"/>
              </w:rPr>
            </w:pPr>
            <w:r>
              <w:rPr>
                <w:rFonts w:hint="eastAsia" w:ascii="Calibri" w:hAnsi="Calibri" w:eastAsia="Arial" w:cs="Arial"/>
                <w:b/>
                <w:color w:val="auto"/>
                <w:sz w:val="24"/>
                <w:szCs w:val="22"/>
                <w:highlight w:val="none"/>
              </w:rPr>
              <w:t>优惠率（%）</w:t>
            </w:r>
          </w:p>
        </w:tc>
      </w:tr>
      <w:tr w14:paraId="6320C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10226A49">
            <w:pPr>
              <w:tabs>
                <w:tab w:val="left" w:pos="5580"/>
              </w:tabs>
              <w:jc w:val="center"/>
              <w:rPr>
                <w:rFonts w:ascii="Calibri" w:hAnsi="Calibri" w:eastAsia="Arial" w:cs="Arial"/>
                <w:color w:val="auto"/>
                <w:sz w:val="24"/>
                <w:szCs w:val="22"/>
                <w:highlight w:val="none"/>
              </w:rPr>
            </w:pPr>
          </w:p>
        </w:tc>
        <w:tc>
          <w:tcPr>
            <w:tcW w:w="1273" w:type="pct"/>
            <w:vAlign w:val="center"/>
          </w:tcPr>
          <w:p w14:paraId="7D47D5CE">
            <w:pPr>
              <w:tabs>
                <w:tab w:val="left" w:pos="5580"/>
              </w:tabs>
              <w:jc w:val="center"/>
              <w:rPr>
                <w:rFonts w:ascii="Calibri" w:hAnsi="Calibri" w:eastAsia="Arial" w:cs="Arial"/>
                <w:color w:val="auto"/>
                <w:sz w:val="24"/>
                <w:szCs w:val="22"/>
                <w:highlight w:val="none"/>
              </w:rPr>
            </w:pPr>
          </w:p>
        </w:tc>
        <w:tc>
          <w:tcPr>
            <w:tcW w:w="3314" w:type="pct"/>
            <w:vAlign w:val="center"/>
          </w:tcPr>
          <w:p w14:paraId="492AF9A3">
            <w:pPr>
              <w:tabs>
                <w:tab w:val="left" w:pos="5580"/>
              </w:tabs>
              <w:jc w:val="center"/>
              <w:rPr>
                <w:rFonts w:ascii="Calibri" w:hAnsi="Calibri" w:eastAsia="Arial" w:cs="Arial"/>
                <w:color w:val="auto"/>
                <w:sz w:val="24"/>
                <w:szCs w:val="22"/>
                <w:highlight w:val="none"/>
              </w:rPr>
            </w:pPr>
          </w:p>
        </w:tc>
      </w:tr>
    </w:tbl>
    <w:p w14:paraId="06343BD5">
      <w:pPr>
        <w:keepNext w:val="0"/>
        <w:keepLines w:val="0"/>
        <w:pageBreakBefore w:val="0"/>
        <w:widowControl w:val="0"/>
        <w:kinsoku/>
        <w:wordWrap/>
        <w:overflowPunct/>
        <w:topLinePunct w:val="0"/>
        <w:autoSpaceDE/>
        <w:autoSpaceDN/>
        <w:bidi w:val="0"/>
        <w:adjustRightInd/>
        <w:snapToGrid/>
        <w:spacing w:before="464" w:line="360" w:lineRule="auto"/>
        <w:ind w:left="0" w:right="0" w:firstLine="480" w:firstLineChars="200"/>
        <w:jc w:val="left"/>
        <w:textAlignment w:val="auto"/>
        <w:rPr>
          <w:color w:val="auto"/>
          <w:sz w:val="24"/>
          <w:szCs w:val="20"/>
          <w:highlight w:val="none"/>
        </w:rPr>
      </w:pPr>
      <w:r>
        <w:rPr>
          <w:color w:val="auto"/>
          <w:sz w:val="24"/>
          <w:highlight w:val="none"/>
        </w:rPr>
        <w:t>注：</w:t>
      </w:r>
      <w:r>
        <w:rPr>
          <w:rFonts w:hint="eastAsia" w:ascii="宋体" w:hAnsi="宋体" w:cs="宋体"/>
          <w:b/>
          <w:bCs/>
          <w:color w:val="auto"/>
          <w:sz w:val="24"/>
          <w:highlight w:val="none"/>
        </w:rPr>
        <w:t>本项目以优惠率进行报价。0≤优惠率&lt;100%，超出此范围则视为无效</w:t>
      </w:r>
      <w:r>
        <w:rPr>
          <w:rFonts w:hint="eastAsia" w:ascii="宋体" w:hAnsi="宋体" w:cs="宋体"/>
          <w:b/>
          <w:bCs/>
          <w:color w:val="auto"/>
          <w:sz w:val="24"/>
          <w:highlight w:val="none"/>
          <w:lang w:val="en-US" w:eastAsia="zh-CN"/>
        </w:rPr>
        <w:t>响应</w:t>
      </w:r>
      <w:r>
        <w:rPr>
          <w:rFonts w:hint="eastAsia" w:ascii="宋体" w:hAnsi="宋体" w:cs="宋体"/>
          <w:b/>
          <w:bCs/>
          <w:color w:val="auto"/>
          <w:sz w:val="24"/>
          <w:highlight w:val="none"/>
        </w:rPr>
        <w:t>。结算价格=公示价格*（1-优惠率)。各</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按照常州市权威部门（价格通）发布的菜市场平均价为报价基数报优惠率（例如：优惠率1%，则结算价格为报价基数的99%；优惠率5%，则结算价格为报价基数的95%，以此为例）。如常州市权威部门（价格通）发布的菜市场平均价未有相应参照价格的，则由采购人与</w:t>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协商确定供货价格。</w:t>
      </w:r>
    </w:p>
    <w:p w14:paraId="2D68B8E1">
      <w:pPr>
        <w:keepNext w:val="0"/>
        <w:keepLines w:val="0"/>
        <w:pageBreakBefore w:val="0"/>
        <w:widowControl w:val="0"/>
        <w:kinsoku/>
        <w:wordWrap/>
        <w:overflowPunct/>
        <w:topLinePunct w:val="0"/>
        <w:autoSpaceDE/>
        <w:autoSpaceDN/>
        <w:bidi w:val="0"/>
        <w:adjustRightInd/>
        <w:snapToGrid/>
        <w:spacing w:before="25" w:after="25" w:line="360" w:lineRule="auto"/>
        <w:textAlignment w:val="auto"/>
        <w:outlineLvl w:val="9"/>
        <w:rPr>
          <w:color w:val="auto"/>
          <w:sz w:val="24"/>
          <w:highlight w:val="none"/>
          <w:lang w:val="zh-CN"/>
        </w:rPr>
      </w:pPr>
    </w:p>
    <w:p w14:paraId="7BFDE03A">
      <w:pPr>
        <w:keepNext w:val="0"/>
        <w:keepLines w:val="0"/>
        <w:pageBreakBefore w:val="0"/>
        <w:widowControl w:val="0"/>
        <w:kinsoku/>
        <w:wordWrap/>
        <w:overflowPunct/>
        <w:topLinePunct w:val="0"/>
        <w:autoSpaceDE/>
        <w:autoSpaceDN/>
        <w:bidi w:val="0"/>
        <w:adjustRightInd/>
        <w:snapToGrid/>
        <w:spacing w:before="25" w:after="25" w:line="360" w:lineRule="auto"/>
        <w:textAlignment w:val="auto"/>
        <w:outlineLvl w:val="9"/>
        <w:rPr>
          <w:color w:val="auto"/>
          <w:sz w:val="24"/>
          <w:highlight w:val="none"/>
          <w:lang w:val="zh-CN"/>
        </w:rPr>
      </w:pPr>
      <w:r>
        <w:rPr>
          <w:color w:val="auto"/>
          <w:sz w:val="24"/>
          <w:highlight w:val="none"/>
          <w:lang w:val="zh-CN"/>
        </w:rPr>
        <w:t xml:space="preserve">                         </w:t>
      </w:r>
    </w:p>
    <w:p w14:paraId="2D01F40D">
      <w:pPr>
        <w:keepNext w:val="0"/>
        <w:keepLines w:val="0"/>
        <w:pageBreakBefore w:val="0"/>
        <w:widowControl w:val="0"/>
        <w:kinsoku/>
        <w:wordWrap/>
        <w:overflowPunct/>
        <w:topLinePunct w:val="0"/>
        <w:autoSpaceDE/>
        <w:autoSpaceDN/>
        <w:bidi w:val="0"/>
        <w:adjustRightInd/>
        <w:snapToGrid/>
        <w:spacing w:before="25" w:after="25" w:line="360" w:lineRule="auto"/>
        <w:textAlignment w:val="auto"/>
        <w:outlineLvl w:val="9"/>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60FF3122">
      <w:pPr>
        <w:keepNext w:val="0"/>
        <w:keepLines w:val="0"/>
        <w:pageBreakBefore w:val="0"/>
        <w:widowControl w:val="0"/>
        <w:kinsoku/>
        <w:wordWrap/>
        <w:overflowPunct/>
        <w:topLinePunct w:val="0"/>
        <w:autoSpaceDE/>
        <w:autoSpaceDN/>
        <w:bidi w:val="0"/>
        <w:adjustRightInd/>
        <w:snapToGrid/>
        <w:spacing w:before="25" w:after="25" w:line="360" w:lineRule="auto"/>
        <w:textAlignment w:val="auto"/>
        <w:outlineLvl w:val="9"/>
        <w:rPr>
          <w:color w:val="auto"/>
          <w:sz w:val="24"/>
          <w:highlight w:val="none"/>
          <w:lang w:val="zh-CN"/>
        </w:rPr>
      </w:pPr>
      <w:r>
        <w:rPr>
          <w:color w:val="auto"/>
          <w:sz w:val="24"/>
          <w:szCs w:val="20"/>
          <w:highlight w:val="none"/>
        </w:rPr>
        <w:t xml:space="preserve">日期：_____年______月______日   </w:t>
      </w:r>
    </w:p>
    <w:p w14:paraId="2556F110">
      <w:pPr>
        <w:spacing w:line="360" w:lineRule="auto"/>
        <w:outlineLvl w:val="9"/>
        <w:rPr>
          <w:rFonts w:hint="eastAsia"/>
          <w:color w:val="auto"/>
          <w:sz w:val="24"/>
          <w:szCs w:val="20"/>
          <w:highlight w:val="none"/>
        </w:rPr>
      </w:pPr>
    </w:p>
    <w:p w14:paraId="492540F5">
      <w:pPr>
        <w:spacing w:line="360" w:lineRule="auto"/>
        <w:outlineLvl w:val="9"/>
        <w:rPr>
          <w:rFonts w:hint="eastAsia"/>
          <w:color w:val="auto"/>
          <w:sz w:val="24"/>
          <w:szCs w:val="20"/>
          <w:highlight w:val="none"/>
        </w:rPr>
      </w:pPr>
    </w:p>
    <w:p w14:paraId="39EBA5D9">
      <w:pPr>
        <w:spacing w:line="360" w:lineRule="auto"/>
        <w:outlineLvl w:val="9"/>
        <w:rPr>
          <w:rFonts w:hint="eastAsia"/>
          <w:color w:val="auto"/>
          <w:sz w:val="24"/>
          <w:szCs w:val="20"/>
          <w:highlight w:val="none"/>
        </w:rPr>
      </w:pPr>
    </w:p>
    <w:p w14:paraId="5A566FA8">
      <w:pPr>
        <w:spacing w:line="360" w:lineRule="auto"/>
        <w:outlineLvl w:val="9"/>
        <w:rPr>
          <w:rFonts w:hint="eastAsia"/>
          <w:color w:val="auto"/>
          <w:sz w:val="24"/>
          <w:szCs w:val="20"/>
          <w:highlight w:val="none"/>
        </w:rPr>
      </w:pPr>
      <w:r>
        <w:rPr>
          <w:color w:val="auto"/>
          <w:sz w:val="24"/>
          <w:highlight w:val="none"/>
        </w:rPr>
        <w:br w:type="page" w:clear="all"/>
      </w:r>
    </w:p>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14:paraId="262C22E2">
      <w:pPr>
        <w:spacing w:line="360" w:lineRule="auto"/>
        <w:outlineLvl w:val="9"/>
        <w:rPr>
          <w:color w:val="auto"/>
          <w:sz w:val="24"/>
          <w:szCs w:val="20"/>
          <w:highlight w:val="none"/>
        </w:rPr>
      </w:pPr>
      <w:bookmarkStart w:id="632" w:name="_Toc150480798"/>
      <w:bookmarkStart w:id="633" w:name="_Toc305158830"/>
      <w:bookmarkStart w:id="634" w:name="_Toc226337258"/>
      <w:bookmarkStart w:id="635" w:name="_Toc305158904"/>
      <w:bookmarkStart w:id="636" w:name="_Toc142311062"/>
      <w:bookmarkStart w:id="637" w:name="_Toc150774765"/>
      <w:bookmarkStart w:id="638" w:name="_Toc264969252"/>
      <w:bookmarkStart w:id="639" w:name="_Toc226309806"/>
      <w:bookmarkStart w:id="640" w:name="_Toc265228400"/>
      <w:bookmarkStart w:id="641" w:name="_Toc127151562"/>
      <w:bookmarkStart w:id="642" w:name="_Toc226965835"/>
      <w:bookmarkStart w:id="643" w:name="_Toc226965752"/>
      <w:bookmarkStart w:id="644" w:name="_Toc195842927"/>
      <w:bookmarkStart w:id="645" w:name="_Toc150774764"/>
      <w:bookmarkStart w:id="646" w:name="_Toc226965751"/>
      <w:bookmarkStart w:id="647" w:name="_Toc150480797"/>
      <w:bookmarkStart w:id="648" w:name="_Toc265228399"/>
      <w:bookmarkStart w:id="649" w:name="_Toc127151561"/>
      <w:bookmarkStart w:id="650" w:name="_Toc195842926"/>
      <w:bookmarkStart w:id="651" w:name="_Toc226337257"/>
      <w:bookmarkStart w:id="652" w:name="_Toc142311061"/>
      <w:bookmarkStart w:id="653" w:name="_Toc305158903"/>
      <w:bookmarkStart w:id="654" w:name="_Toc226309805"/>
      <w:bookmarkStart w:id="655" w:name="_Toc264969251"/>
      <w:bookmarkStart w:id="656" w:name="_Toc226965834"/>
      <w:bookmarkStart w:id="657" w:name="_Toc305158829"/>
      <w:r>
        <w:rPr>
          <w:rFonts w:hint="eastAsia"/>
          <w:color w:val="auto"/>
          <w:sz w:val="24"/>
          <w:szCs w:val="20"/>
          <w:highlight w:val="none"/>
          <w:lang w:val="en-US" w:eastAsia="zh-CN"/>
        </w:rPr>
        <w:t>8</w:t>
      </w:r>
      <w:r>
        <w:rPr>
          <w:color w:val="auto"/>
          <w:sz w:val="24"/>
          <w:szCs w:val="20"/>
          <w:highlight w:val="none"/>
        </w:rPr>
        <w:t xml:space="preserve">  合同条款偏离表</w:t>
      </w:r>
      <w:bookmarkEnd w:id="632"/>
      <w:bookmarkEnd w:id="633"/>
      <w:bookmarkEnd w:id="634"/>
      <w:bookmarkEnd w:id="635"/>
      <w:bookmarkEnd w:id="636"/>
      <w:bookmarkEnd w:id="637"/>
      <w:bookmarkEnd w:id="638"/>
      <w:bookmarkEnd w:id="639"/>
      <w:bookmarkEnd w:id="640"/>
      <w:bookmarkEnd w:id="641"/>
      <w:bookmarkEnd w:id="642"/>
      <w:bookmarkEnd w:id="643"/>
      <w:bookmarkEnd w:id="644"/>
    </w:p>
    <w:p w14:paraId="3BA0ED27">
      <w:pPr>
        <w:spacing w:line="360" w:lineRule="auto"/>
        <w:outlineLvl w:val="9"/>
        <w:rPr>
          <w:color w:val="auto"/>
          <w:sz w:val="24"/>
          <w:szCs w:val="20"/>
          <w:highlight w:val="none"/>
        </w:rPr>
      </w:pPr>
    </w:p>
    <w:p w14:paraId="159470C3">
      <w:pPr>
        <w:jc w:val="center"/>
        <w:outlineLvl w:val="9"/>
        <w:rPr>
          <w:b/>
          <w:color w:val="auto"/>
          <w:sz w:val="36"/>
          <w:szCs w:val="36"/>
          <w:highlight w:val="none"/>
        </w:rPr>
      </w:pPr>
      <w:r>
        <w:rPr>
          <w:rFonts w:hint="eastAsia"/>
          <w:b/>
          <w:color w:val="auto"/>
          <w:sz w:val="36"/>
          <w:szCs w:val="36"/>
          <w:highlight w:val="none"/>
        </w:rPr>
        <w:t>合同条款偏离表</w:t>
      </w:r>
    </w:p>
    <w:p w14:paraId="50A61801">
      <w:pPr>
        <w:jc w:val="center"/>
        <w:outlineLvl w:val="9"/>
        <w:rPr>
          <w:color w:val="auto"/>
          <w:sz w:val="36"/>
          <w:szCs w:val="36"/>
          <w:highlight w:val="none"/>
        </w:rPr>
      </w:pPr>
    </w:p>
    <w:p w14:paraId="69F5C1C1">
      <w:pPr>
        <w:spacing w:line="360" w:lineRule="auto"/>
        <w:outlineLvl w:val="9"/>
        <w:rPr>
          <w:color w:val="auto"/>
          <w:sz w:val="24"/>
          <w:szCs w:val="20"/>
          <w:highlight w:val="none"/>
        </w:rPr>
      </w:pPr>
    </w:p>
    <w:p w14:paraId="7A2223BF">
      <w:pPr>
        <w:tabs>
          <w:tab w:val="left" w:pos="1800"/>
          <w:tab w:val="left" w:pos="5580"/>
        </w:tabs>
        <w:spacing w:line="360" w:lineRule="auto"/>
        <w:ind w:firstLine="360"/>
        <w:jc w:val="left"/>
        <w:outlineLvl w:val="9"/>
        <w:rPr>
          <w:color w:val="auto"/>
          <w:sz w:val="24"/>
          <w:highlight w:val="none"/>
        </w:rPr>
      </w:pPr>
      <w:r>
        <w:rPr>
          <w:color w:val="auto"/>
          <w:sz w:val="24"/>
          <w:highlight w:val="none"/>
        </w:rPr>
        <w:t>项目编号：_______________     项目名称：_____________________</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29BCB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67DF75A0">
            <w:pPr>
              <w:jc w:val="left"/>
              <w:outlineLvl w:val="9"/>
              <w:rPr>
                <w:b/>
                <w:color w:val="auto"/>
                <w:sz w:val="24"/>
                <w:highlight w:val="none"/>
              </w:rPr>
            </w:pPr>
            <w:r>
              <w:rPr>
                <w:rFonts w:hint="eastAsia"/>
                <w:b/>
                <w:color w:val="auto"/>
                <w:sz w:val="24"/>
                <w:highlight w:val="none"/>
              </w:rPr>
              <w:t>对本项目合同条款的偏离情况（请进行勾选）：</w:t>
            </w:r>
          </w:p>
          <w:p w14:paraId="30644ABF">
            <w:pPr>
              <w:jc w:val="left"/>
              <w:outlineLvl w:val="9"/>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0B9FBE3C">
            <w:pPr>
              <w:jc w:val="left"/>
              <w:outlineLvl w:val="9"/>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4F916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DC98390">
            <w:pPr>
              <w:jc w:val="center"/>
              <w:outlineLvl w:val="9"/>
              <w:rPr>
                <w:color w:val="auto"/>
                <w:sz w:val="24"/>
                <w:highlight w:val="none"/>
              </w:rPr>
            </w:pPr>
            <w:r>
              <w:rPr>
                <w:color w:val="auto"/>
                <w:sz w:val="24"/>
                <w:highlight w:val="none"/>
              </w:rPr>
              <w:t>序号</w:t>
            </w:r>
          </w:p>
        </w:tc>
        <w:tc>
          <w:tcPr>
            <w:tcW w:w="1290" w:type="dxa"/>
            <w:noWrap w:val="0"/>
            <w:vAlign w:val="center"/>
          </w:tcPr>
          <w:p w14:paraId="0DA2D218">
            <w:pPr>
              <w:jc w:val="center"/>
              <w:outlineLvl w:val="9"/>
              <w:rPr>
                <w:color w:val="auto"/>
                <w:sz w:val="24"/>
                <w:highlight w:val="none"/>
              </w:rPr>
            </w:pPr>
            <w:r>
              <w:rPr>
                <w:color w:val="auto"/>
                <w:sz w:val="24"/>
                <w:szCs w:val="21"/>
                <w:highlight w:val="none"/>
              </w:rPr>
              <w:t>磋商文件</w:t>
            </w:r>
            <w:r>
              <w:rPr>
                <w:color w:val="auto"/>
                <w:sz w:val="24"/>
                <w:highlight w:val="none"/>
              </w:rPr>
              <w:t>条目号（页码）</w:t>
            </w:r>
          </w:p>
        </w:tc>
        <w:tc>
          <w:tcPr>
            <w:tcW w:w="1980" w:type="dxa"/>
            <w:noWrap w:val="0"/>
            <w:vAlign w:val="center"/>
          </w:tcPr>
          <w:p w14:paraId="64E4FD91">
            <w:pPr>
              <w:jc w:val="center"/>
              <w:outlineLvl w:val="9"/>
              <w:rPr>
                <w:color w:val="auto"/>
                <w:sz w:val="24"/>
                <w:highlight w:val="none"/>
              </w:rPr>
            </w:pPr>
            <w:r>
              <w:rPr>
                <w:color w:val="auto"/>
                <w:sz w:val="24"/>
                <w:szCs w:val="21"/>
                <w:highlight w:val="none"/>
              </w:rPr>
              <w:t>磋商文件</w:t>
            </w:r>
            <w:r>
              <w:rPr>
                <w:color w:val="auto"/>
                <w:sz w:val="24"/>
                <w:highlight w:val="none"/>
              </w:rPr>
              <w:t>要求</w:t>
            </w:r>
          </w:p>
        </w:tc>
        <w:tc>
          <w:tcPr>
            <w:tcW w:w="1981" w:type="dxa"/>
            <w:noWrap w:val="0"/>
            <w:vAlign w:val="center"/>
          </w:tcPr>
          <w:p w14:paraId="23810217">
            <w:pPr>
              <w:jc w:val="center"/>
              <w:outlineLvl w:val="9"/>
              <w:rPr>
                <w:color w:val="auto"/>
                <w:sz w:val="24"/>
                <w:highlight w:val="none"/>
              </w:rPr>
            </w:pPr>
            <w:r>
              <w:rPr>
                <w:color w:val="auto"/>
                <w:sz w:val="24"/>
                <w:highlight w:val="none"/>
              </w:rPr>
              <w:t>响应文件内容</w:t>
            </w:r>
          </w:p>
        </w:tc>
        <w:tc>
          <w:tcPr>
            <w:tcW w:w="2427" w:type="dxa"/>
            <w:noWrap w:val="0"/>
            <w:vAlign w:val="center"/>
          </w:tcPr>
          <w:p w14:paraId="2EC2152B">
            <w:pPr>
              <w:jc w:val="center"/>
              <w:outlineLvl w:val="9"/>
              <w:rPr>
                <w:color w:val="auto"/>
                <w:sz w:val="24"/>
                <w:highlight w:val="none"/>
              </w:rPr>
            </w:pPr>
            <w:r>
              <w:rPr>
                <w:color w:val="auto"/>
                <w:sz w:val="24"/>
                <w:highlight w:val="none"/>
              </w:rPr>
              <w:t>偏离情况</w:t>
            </w:r>
          </w:p>
          <w:p w14:paraId="308B312E">
            <w:pPr>
              <w:jc w:val="center"/>
              <w:outlineLvl w:val="9"/>
              <w:rPr>
                <w:color w:val="auto"/>
                <w:sz w:val="24"/>
                <w:highlight w:val="none"/>
              </w:rPr>
            </w:pPr>
            <w:r>
              <w:rPr>
                <w:color w:val="auto"/>
                <w:sz w:val="24"/>
                <w:highlight w:val="none"/>
              </w:rPr>
              <w:t>（据实填写）</w:t>
            </w:r>
          </w:p>
        </w:tc>
        <w:tc>
          <w:tcPr>
            <w:tcW w:w="782" w:type="dxa"/>
            <w:noWrap w:val="0"/>
            <w:vAlign w:val="center"/>
          </w:tcPr>
          <w:p w14:paraId="3D55FB75">
            <w:pPr>
              <w:jc w:val="center"/>
              <w:outlineLvl w:val="9"/>
              <w:rPr>
                <w:color w:val="auto"/>
                <w:sz w:val="24"/>
                <w:highlight w:val="none"/>
              </w:rPr>
            </w:pPr>
            <w:r>
              <w:rPr>
                <w:color w:val="auto"/>
                <w:sz w:val="24"/>
                <w:highlight w:val="none"/>
              </w:rPr>
              <w:t>说明</w:t>
            </w:r>
          </w:p>
        </w:tc>
      </w:tr>
      <w:tr w14:paraId="2C221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DD7E084">
            <w:pPr>
              <w:jc w:val="center"/>
              <w:outlineLvl w:val="9"/>
              <w:rPr>
                <w:color w:val="auto"/>
                <w:sz w:val="24"/>
                <w:highlight w:val="none"/>
              </w:rPr>
            </w:pPr>
          </w:p>
        </w:tc>
        <w:tc>
          <w:tcPr>
            <w:tcW w:w="1290" w:type="dxa"/>
            <w:noWrap w:val="0"/>
            <w:vAlign w:val="center"/>
          </w:tcPr>
          <w:p w14:paraId="16744BDE">
            <w:pPr>
              <w:jc w:val="center"/>
              <w:outlineLvl w:val="9"/>
              <w:rPr>
                <w:color w:val="auto"/>
                <w:sz w:val="24"/>
                <w:highlight w:val="none"/>
              </w:rPr>
            </w:pPr>
          </w:p>
        </w:tc>
        <w:tc>
          <w:tcPr>
            <w:tcW w:w="1980" w:type="dxa"/>
            <w:noWrap w:val="0"/>
            <w:vAlign w:val="center"/>
          </w:tcPr>
          <w:p w14:paraId="267C5EF2">
            <w:pPr>
              <w:jc w:val="center"/>
              <w:outlineLvl w:val="9"/>
              <w:rPr>
                <w:color w:val="auto"/>
                <w:sz w:val="24"/>
                <w:highlight w:val="none"/>
              </w:rPr>
            </w:pPr>
          </w:p>
        </w:tc>
        <w:tc>
          <w:tcPr>
            <w:tcW w:w="1981" w:type="dxa"/>
            <w:noWrap w:val="0"/>
            <w:vAlign w:val="center"/>
          </w:tcPr>
          <w:p w14:paraId="722AF954">
            <w:pPr>
              <w:jc w:val="center"/>
              <w:outlineLvl w:val="9"/>
              <w:rPr>
                <w:color w:val="auto"/>
                <w:sz w:val="24"/>
                <w:highlight w:val="none"/>
              </w:rPr>
            </w:pPr>
          </w:p>
        </w:tc>
        <w:tc>
          <w:tcPr>
            <w:tcW w:w="2427" w:type="dxa"/>
            <w:noWrap w:val="0"/>
            <w:vAlign w:val="center"/>
          </w:tcPr>
          <w:p w14:paraId="6BD91096">
            <w:pPr>
              <w:jc w:val="center"/>
              <w:outlineLvl w:val="9"/>
              <w:rPr>
                <w:color w:val="auto"/>
                <w:sz w:val="24"/>
                <w:highlight w:val="none"/>
              </w:rPr>
            </w:pPr>
          </w:p>
        </w:tc>
        <w:tc>
          <w:tcPr>
            <w:tcW w:w="782" w:type="dxa"/>
            <w:noWrap w:val="0"/>
            <w:vAlign w:val="center"/>
          </w:tcPr>
          <w:p w14:paraId="3DD1E10C">
            <w:pPr>
              <w:jc w:val="center"/>
              <w:outlineLvl w:val="9"/>
              <w:rPr>
                <w:color w:val="auto"/>
                <w:sz w:val="24"/>
                <w:highlight w:val="none"/>
              </w:rPr>
            </w:pPr>
          </w:p>
        </w:tc>
      </w:tr>
      <w:tr w14:paraId="72C1E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B27A690">
            <w:pPr>
              <w:jc w:val="center"/>
              <w:outlineLvl w:val="9"/>
              <w:rPr>
                <w:color w:val="auto"/>
                <w:sz w:val="24"/>
                <w:highlight w:val="none"/>
              </w:rPr>
            </w:pPr>
          </w:p>
        </w:tc>
        <w:tc>
          <w:tcPr>
            <w:tcW w:w="1290" w:type="dxa"/>
            <w:noWrap w:val="0"/>
            <w:vAlign w:val="center"/>
          </w:tcPr>
          <w:p w14:paraId="06F30D2A">
            <w:pPr>
              <w:jc w:val="center"/>
              <w:outlineLvl w:val="9"/>
              <w:rPr>
                <w:color w:val="auto"/>
                <w:sz w:val="24"/>
                <w:highlight w:val="none"/>
              </w:rPr>
            </w:pPr>
          </w:p>
        </w:tc>
        <w:tc>
          <w:tcPr>
            <w:tcW w:w="1980" w:type="dxa"/>
            <w:noWrap w:val="0"/>
            <w:vAlign w:val="center"/>
          </w:tcPr>
          <w:p w14:paraId="2F331710">
            <w:pPr>
              <w:jc w:val="center"/>
              <w:outlineLvl w:val="9"/>
              <w:rPr>
                <w:color w:val="auto"/>
                <w:sz w:val="24"/>
                <w:highlight w:val="none"/>
              </w:rPr>
            </w:pPr>
          </w:p>
        </w:tc>
        <w:tc>
          <w:tcPr>
            <w:tcW w:w="1981" w:type="dxa"/>
            <w:noWrap w:val="0"/>
            <w:vAlign w:val="center"/>
          </w:tcPr>
          <w:p w14:paraId="2785FAB6">
            <w:pPr>
              <w:jc w:val="center"/>
              <w:outlineLvl w:val="9"/>
              <w:rPr>
                <w:color w:val="auto"/>
                <w:sz w:val="24"/>
                <w:highlight w:val="none"/>
              </w:rPr>
            </w:pPr>
          </w:p>
        </w:tc>
        <w:tc>
          <w:tcPr>
            <w:tcW w:w="2427" w:type="dxa"/>
            <w:noWrap w:val="0"/>
            <w:vAlign w:val="center"/>
          </w:tcPr>
          <w:p w14:paraId="58AAFCE6">
            <w:pPr>
              <w:jc w:val="center"/>
              <w:outlineLvl w:val="9"/>
              <w:rPr>
                <w:color w:val="auto"/>
                <w:sz w:val="24"/>
                <w:highlight w:val="none"/>
              </w:rPr>
            </w:pPr>
          </w:p>
        </w:tc>
        <w:tc>
          <w:tcPr>
            <w:tcW w:w="782" w:type="dxa"/>
            <w:noWrap w:val="0"/>
            <w:vAlign w:val="center"/>
          </w:tcPr>
          <w:p w14:paraId="51588D45">
            <w:pPr>
              <w:jc w:val="center"/>
              <w:outlineLvl w:val="9"/>
              <w:rPr>
                <w:color w:val="auto"/>
                <w:sz w:val="24"/>
                <w:highlight w:val="none"/>
              </w:rPr>
            </w:pPr>
          </w:p>
        </w:tc>
      </w:tr>
      <w:tr w14:paraId="007AA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638210B">
            <w:pPr>
              <w:jc w:val="center"/>
              <w:outlineLvl w:val="9"/>
              <w:rPr>
                <w:color w:val="auto"/>
                <w:sz w:val="24"/>
                <w:highlight w:val="none"/>
              </w:rPr>
            </w:pPr>
          </w:p>
        </w:tc>
        <w:tc>
          <w:tcPr>
            <w:tcW w:w="1290" w:type="dxa"/>
            <w:noWrap w:val="0"/>
            <w:vAlign w:val="center"/>
          </w:tcPr>
          <w:p w14:paraId="30964F2F">
            <w:pPr>
              <w:jc w:val="center"/>
              <w:outlineLvl w:val="9"/>
              <w:rPr>
                <w:color w:val="auto"/>
                <w:sz w:val="24"/>
                <w:highlight w:val="none"/>
              </w:rPr>
            </w:pPr>
          </w:p>
        </w:tc>
        <w:tc>
          <w:tcPr>
            <w:tcW w:w="1980" w:type="dxa"/>
            <w:noWrap w:val="0"/>
            <w:vAlign w:val="center"/>
          </w:tcPr>
          <w:p w14:paraId="1B132483">
            <w:pPr>
              <w:jc w:val="center"/>
              <w:outlineLvl w:val="9"/>
              <w:rPr>
                <w:color w:val="auto"/>
                <w:sz w:val="24"/>
                <w:highlight w:val="none"/>
              </w:rPr>
            </w:pPr>
          </w:p>
        </w:tc>
        <w:tc>
          <w:tcPr>
            <w:tcW w:w="1981" w:type="dxa"/>
            <w:noWrap w:val="0"/>
            <w:vAlign w:val="center"/>
          </w:tcPr>
          <w:p w14:paraId="488175EA">
            <w:pPr>
              <w:jc w:val="center"/>
              <w:outlineLvl w:val="9"/>
              <w:rPr>
                <w:color w:val="auto"/>
                <w:sz w:val="24"/>
                <w:highlight w:val="none"/>
              </w:rPr>
            </w:pPr>
          </w:p>
        </w:tc>
        <w:tc>
          <w:tcPr>
            <w:tcW w:w="2427" w:type="dxa"/>
            <w:noWrap w:val="0"/>
            <w:vAlign w:val="center"/>
          </w:tcPr>
          <w:p w14:paraId="4C3A0422">
            <w:pPr>
              <w:jc w:val="center"/>
              <w:outlineLvl w:val="9"/>
              <w:rPr>
                <w:color w:val="auto"/>
                <w:sz w:val="24"/>
                <w:highlight w:val="none"/>
              </w:rPr>
            </w:pPr>
          </w:p>
        </w:tc>
        <w:tc>
          <w:tcPr>
            <w:tcW w:w="782" w:type="dxa"/>
            <w:noWrap w:val="0"/>
            <w:vAlign w:val="center"/>
          </w:tcPr>
          <w:p w14:paraId="71BC2621">
            <w:pPr>
              <w:jc w:val="center"/>
              <w:outlineLvl w:val="9"/>
              <w:rPr>
                <w:color w:val="auto"/>
                <w:sz w:val="24"/>
                <w:highlight w:val="none"/>
              </w:rPr>
            </w:pPr>
          </w:p>
        </w:tc>
      </w:tr>
      <w:tr w14:paraId="41696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AD9510D">
            <w:pPr>
              <w:jc w:val="center"/>
              <w:outlineLvl w:val="9"/>
              <w:rPr>
                <w:color w:val="auto"/>
                <w:sz w:val="24"/>
                <w:highlight w:val="none"/>
              </w:rPr>
            </w:pPr>
          </w:p>
        </w:tc>
        <w:tc>
          <w:tcPr>
            <w:tcW w:w="1290" w:type="dxa"/>
            <w:noWrap w:val="0"/>
            <w:vAlign w:val="center"/>
          </w:tcPr>
          <w:p w14:paraId="0B553E13">
            <w:pPr>
              <w:jc w:val="center"/>
              <w:outlineLvl w:val="9"/>
              <w:rPr>
                <w:color w:val="auto"/>
                <w:sz w:val="24"/>
                <w:highlight w:val="none"/>
              </w:rPr>
            </w:pPr>
          </w:p>
        </w:tc>
        <w:tc>
          <w:tcPr>
            <w:tcW w:w="1980" w:type="dxa"/>
            <w:noWrap w:val="0"/>
            <w:vAlign w:val="center"/>
          </w:tcPr>
          <w:p w14:paraId="53A2B336">
            <w:pPr>
              <w:jc w:val="center"/>
              <w:outlineLvl w:val="9"/>
              <w:rPr>
                <w:color w:val="auto"/>
                <w:sz w:val="24"/>
                <w:highlight w:val="none"/>
              </w:rPr>
            </w:pPr>
          </w:p>
        </w:tc>
        <w:tc>
          <w:tcPr>
            <w:tcW w:w="1981" w:type="dxa"/>
            <w:noWrap w:val="0"/>
            <w:vAlign w:val="center"/>
          </w:tcPr>
          <w:p w14:paraId="3A3DD6CA">
            <w:pPr>
              <w:jc w:val="center"/>
              <w:outlineLvl w:val="9"/>
              <w:rPr>
                <w:color w:val="auto"/>
                <w:sz w:val="24"/>
                <w:highlight w:val="none"/>
              </w:rPr>
            </w:pPr>
          </w:p>
        </w:tc>
        <w:tc>
          <w:tcPr>
            <w:tcW w:w="2427" w:type="dxa"/>
            <w:noWrap w:val="0"/>
            <w:vAlign w:val="center"/>
          </w:tcPr>
          <w:p w14:paraId="5841EED0">
            <w:pPr>
              <w:jc w:val="center"/>
              <w:outlineLvl w:val="9"/>
              <w:rPr>
                <w:color w:val="auto"/>
                <w:sz w:val="24"/>
                <w:highlight w:val="none"/>
              </w:rPr>
            </w:pPr>
          </w:p>
        </w:tc>
        <w:tc>
          <w:tcPr>
            <w:tcW w:w="782" w:type="dxa"/>
            <w:noWrap w:val="0"/>
            <w:vAlign w:val="center"/>
          </w:tcPr>
          <w:p w14:paraId="3490C2C3">
            <w:pPr>
              <w:jc w:val="center"/>
              <w:outlineLvl w:val="9"/>
              <w:rPr>
                <w:color w:val="auto"/>
                <w:sz w:val="24"/>
                <w:highlight w:val="none"/>
              </w:rPr>
            </w:pPr>
          </w:p>
        </w:tc>
      </w:tr>
    </w:tbl>
    <w:p w14:paraId="7588AA9A">
      <w:pPr>
        <w:tabs>
          <w:tab w:val="left" w:pos="1800"/>
          <w:tab w:val="left" w:pos="5580"/>
        </w:tabs>
        <w:jc w:val="left"/>
        <w:outlineLvl w:val="9"/>
        <w:rPr>
          <w:color w:val="auto"/>
          <w:sz w:val="24"/>
          <w:highlight w:val="none"/>
        </w:rPr>
      </w:pPr>
    </w:p>
    <w:p w14:paraId="0CE34E7E">
      <w:pPr>
        <w:tabs>
          <w:tab w:val="left" w:pos="1800"/>
          <w:tab w:val="left" w:pos="5580"/>
        </w:tabs>
        <w:jc w:val="left"/>
        <w:outlineLvl w:val="9"/>
        <w:rPr>
          <w:color w:val="auto"/>
          <w:sz w:val="24"/>
          <w:highlight w:val="none"/>
        </w:rPr>
      </w:pPr>
      <w:r>
        <w:rPr>
          <w:rFonts w:hint="eastAsia"/>
          <w:color w:val="auto"/>
          <w:sz w:val="24"/>
          <w:highlight w:val="none"/>
        </w:rPr>
        <w:t>注：</w:t>
      </w:r>
    </w:p>
    <w:p w14:paraId="675090D5">
      <w:pPr>
        <w:tabs>
          <w:tab w:val="left" w:pos="1800"/>
          <w:tab w:val="left" w:pos="5580"/>
        </w:tabs>
        <w:jc w:val="left"/>
        <w:outlineLvl w:val="9"/>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2F74C626">
      <w:pPr>
        <w:tabs>
          <w:tab w:val="left" w:pos="1800"/>
          <w:tab w:val="left" w:pos="5580"/>
        </w:tabs>
        <w:jc w:val="left"/>
        <w:outlineLvl w:val="9"/>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7916A133">
      <w:pPr>
        <w:spacing w:line="360" w:lineRule="auto"/>
        <w:outlineLvl w:val="9"/>
        <w:rPr>
          <w:color w:val="auto"/>
          <w:sz w:val="24"/>
          <w:szCs w:val="20"/>
          <w:highlight w:val="none"/>
        </w:rPr>
      </w:pPr>
    </w:p>
    <w:p w14:paraId="67674891">
      <w:pPr>
        <w:spacing w:before="25" w:after="25" w:line="360" w:lineRule="auto"/>
        <w:outlineLvl w:val="9"/>
        <w:rPr>
          <w:color w:val="auto"/>
          <w:sz w:val="24"/>
          <w:highlight w:val="none"/>
          <w:lang w:val="zh-CN"/>
        </w:rPr>
      </w:pPr>
      <w:r>
        <w:rPr>
          <w:color w:val="auto"/>
          <w:sz w:val="24"/>
          <w:highlight w:val="none"/>
          <w:lang w:val="zh-CN"/>
        </w:rPr>
        <w:t xml:space="preserve">                      </w:t>
      </w:r>
    </w:p>
    <w:p w14:paraId="4084B12D">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29CD98A9">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1154D5FC">
      <w:pPr>
        <w:spacing w:line="360" w:lineRule="auto"/>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9</w:t>
      </w:r>
      <w:r>
        <w:rPr>
          <w:color w:val="auto"/>
          <w:sz w:val="24"/>
          <w:szCs w:val="20"/>
          <w:highlight w:val="none"/>
        </w:rPr>
        <w:t xml:space="preserve">  </w:t>
      </w:r>
      <w:bookmarkEnd w:id="645"/>
      <w:bookmarkEnd w:id="646"/>
      <w:bookmarkEnd w:id="647"/>
      <w:bookmarkEnd w:id="648"/>
      <w:bookmarkEnd w:id="649"/>
      <w:bookmarkEnd w:id="650"/>
      <w:bookmarkEnd w:id="651"/>
      <w:bookmarkEnd w:id="652"/>
      <w:bookmarkEnd w:id="653"/>
      <w:bookmarkEnd w:id="654"/>
      <w:bookmarkEnd w:id="655"/>
      <w:bookmarkEnd w:id="656"/>
      <w:bookmarkEnd w:id="657"/>
      <w:r>
        <w:rPr>
          <w:color w:val="auto"/>
          <w:sz w:val="24"/>
          <w:szCs w:val="20"/>
          <w:highlight w:val="none"/>
        </w:rPr>
        <w:t>采购需求偏离表</w:t>
      </w:r>
    </w:p>
    <w:p w14:paraId="0D4A9A1F">
      <w:pPr>
        <w:jc w:val="center"/>
        <w:outlineLvl w:val="9"/>
        <w:rPr>
          <w:b/>
          <w:color w:val="auto"/>
          <w:sz w:val="36"/>
          <w:szCs w:val="36"/>
          <w:highlight w:val="none"/>
        </w:rPr>
      </w:pPr>
      <w:r>
        <w:rPr>
          <w:rFonts w:hint="eastAsia"/>
          <w:b/>
          <w:color w:val="auto"/>
          <w:sz w:val="36"/>
          <w:szCs w:val="36"/>
          <w:highlight w:val="none"/>
        </w:rPr>
        <w:t>采购需求偏离表</w:t>
      </w:r>
    </w:p>
    <w:p w14:paraId="7882E192">
      <w:pPr>
        <w:jc w:val="center"/>
        <w:outlineLvl w:val="9"/>
        <w:rPr>
          <w:color w:val="auto"/>
          <w:sz w:val="36"/>
          <w:szCs w:val="36"/>
          <w:highlight w:val="none"/>
        </w:rPr>
      </w:pPr>
    </w:p>
    <w:p w14:paraId="62091745">
      <w:pPr>
        <w:tabs>
          <w:tab w:val="left" w:pos="1800"/>
          <w:tab w:val="left" w:pos="5580"/>
        </w:tabs>
        <w:spacing w:line="360" w:lineRule="auto"/>
        <w:ind w:firstLine="360"/>
        <w:jc w:val="left"/>
        <w:outlineLvl w:val="9"/>
        <w:rPr>
          <w:color w:val="auto"/>
          <w:sz w:val="24"/>
          <w:highlight w:val="none"/>
          <w:u w:val="single"/>
        </w:rPr>
      </w:pPr>
      <w:r>
        <w:rPr>
          <w:color w:val="auto"/>
          <w:sz w:val="24"/>
          <w:highlight w:val="none"/>
        </w:rPr>
        <w:t>项目编号：_____________________     项目名称：_______________________</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BA99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BA1DF30">
            <w:pPr>
              <w:jc w:val="center"/>
              <w:outlineLvl w:val="9"/>
              <w:rPr>
                <w:color w:val="auto"/>
                <w:sz w:val="24"/>
                <w:highlight w:val="none"/>
              </w:rPr>
            </w:pPr>
            <w:r>
              <w:rPr>
                <w:color w:val="auto"/>
                <w:sz w:val="24"/>
                <w:highlight w:val="none"/>
              </w:rPr>
              <w:t>序号</w:t>
            </w:r>
          </w:p>
        </w:tc>
        <w:tc>
          <w:tcPr>
            <w:tcW w:w="1482" w:type="dxa"/>
            <w:noWrap w:val="0"/>
            <w:vAlign w:val="center"/>
          </w:tcPr>
          <w:p w14:paraId="44CC0EE1">
            <w:pPr>
              <w:jc w:val="center"/>
              <w:outlineLvl w:val="9"/>
              <w:rPr>
                <w:color w:val="auto"/>
                <w:sz w:val="24"/>
                <w:highlight w:val="none"/>
              </w:rPr>
            </w:pPr>
            <w:r>
              <w:rPr>
                <w:color w:val="auto"/>
                <w:sz w:val="24"/>
                <w:highlight w:val="none"/>
              </w:rPr>
              <w:t>磋商文件条目号(页码)</w:t>
            </w:r>
          </w:p>
        </w:tc>
        <w:tc>
          <w:tcPr>
            <w:tcW w:w="2384" w:type="dxa"/>
            <w:noWrap w:val="0"/>
            <w:vAlign w:val="center"/>
          </w:tcPr>
          <w:p w14:paraId="786D9CFB">
            <w:pPr>
              <w:jc w:val="center"/>
              <w:outlineLvl w:val="9"/>
              <w:rPr>
                <w:color w:val="auto"/>
                <w:sz w:val="24"/>
                <w:highlight w:val="none"/>
              </w:rPr>
            </w:pPr>
            <w:r>
              <w:rPr>
                <w:color w:val="auto"/>
                <w:sz w:val="24"/>
                <w:highlight w:val="none"/>
              </w:rPr>
              <w:t>磋商文件要求</w:t>
            </w:r>
          </w:p>
        </w:tc>
        <w:tc>
          <w:tcPr>
            <w:tcW w:w="2126" w:type="dxa"/>
            <w:noWrap w:val="0"/>
            <w:vAlign w:val="center"/>
          </w:tcPr>
          <w:p w14:paraId="524F7358">
            <w:pPr>
              <w:jc w:val="center"/>
              <w:outlineLvl w:val="9"/>
              <w:rPr>
                <w:color w:val="auto"/>
                <w:sz w:val="24"/>
                <w:highlight w:val="none"/>
              </w:rPr>
            </w:pPr>
            <w:r>
              <w:rPr>
                <w:color w:val="auto"/>
                <w:sz w:val="24"/>
                <w:highlight w:val="none"/>
              </w:rPr>
              <w:t>响应内容</w:t>
            </w:r>
          </w:p>
        </w:tc>
        <w:tc>
          <w:tcPr>
            <w:tcW w:w="1875" w:type="dxa"/>
            <w:noWrap w:val="0"/>
            <w:vAlign w:val="center"/>
          </w:tcPr>
          <w:p w14:paraId="52E4A100">
            <w:pPr>
              <w:jc w:val="center"/>
              <w:outlineLvl w:val="9"/>
              <w:rPr>
                <w:color w:val="auto"/>
                <w:sz w:val="24"/>
                <w:highlight w:val="none"/>
              </w:rPr>
            </w:pPr>
            <w:r>
              <w:rPr>
                <w:color w:val="auto"/>
                <w:sz w:val="24"/>
                <w:highlight w:val="none"/>
              </w:rPr>
              <w:t>偏离情况</w:t>
            </w:r>
          </w:p>
          <w:p w14:paraId="05E9D1DB">
            <w:pPr>
              <w:jc w:val="center"/>
              <w:outlineLvl w:val="9"/>
              <w:rPr>
                <w:color w:val="auto"/>
                <w:sz w:val="24"/>
                <w:highlight w:val="none"/>
              </w:rPr>
            </w:pPr>
            <w:r>
              <w:rPr>
                <w:color w:val="auto"/>
                <w:sz w:val="24"/>
                <w:szCs w:val="21"/>
                <w:highlight w:val="none"/>
              </w:rPr>
              <w:t>（据实填写）</w:t>
            </w:r>
          </w:p>
        </w:tc>
        <w:tc>
          <w:tcPr>
            <w:tcW w:w="1009" w:type="dxa"/>
            <w:noWrap w:val="0"/>
            <w:vAlign w:val="center"/>
          </w:tcPr>
          <w:p w14:paraId="3AC232C6">
            <w:pPr>
              <w:jc w:val="center"/>
              <w:outlineLvl w:val="9"/>
              <w:rPr>
                <w:color w:val="auto"/>
                <w:sz w:val="24"/>
                <w:highlight w:val="none"/>
              </w:rPr>
            </w:pPr>
            <w:r>
              <w:rPr>
                <w:color w:val="auto"/>
                <w:sz w:val="24"/>
                <w:highlight w:val="none"/>
              </w:rPr>
              <w:t>说明</w:t>
            </w:r>
          </w:p>
        </w:tc>
      </w:tr>
      <w:tr w14:paraId="6BAE6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7F7334">
            <w:pPr>
              <w:jc w:val="center"/>
              <w:outlineLvl w:val="9"/>
              <w:rPr>
                <w:color w:val="auto"/>
                <w:sz w:val="24"/>
                <w:highlight w:val="none"/>
              </w:rPr>
            </w:pPr>
          </w:p>
        </w:tc>
        <w:tc>
          <w:tcPr>
            <w:tcW w:w="1482" w:type="dxa"/>
            <w:noWrap w:val="0"/>
            <w:vAlign w:val="center"/>
          </w:tcPr>
          <w:p w14:paraId="0E04CF00">
            <w:pPr>
              <w:jc w:val="center"/>
              <w:outlineLvl w:val="9"/>
              <w:rPr>
                <w:color w:val="auto"/>
                <w:sz w:val="24"/>
                <w:highlight w:val="none"/>
              </w:rPr>
            </w:pPr>
          </w:p>
        </w:tc>
        <w:tc>
          <w:tcPr>
            <w:tcW w:w="2384" w:type="dxa"/>
            <w:noWrap w:val="0"/>
            <w:vAlign w:val="center"/>
          </w:tcPr>
          <w:p w14:paraId="26DFC7CD">
            <w:pPr>
              <w:jc w:val="center"/>
              <w:outlineLvl w:val="9"/>
              <w:rPr>
                <w:color w:val="auto"/>
                <w:sz w:val="24"/>
                <w:highlight w:val="none"/>
              </w:rPr>
            </w:pPr>
          </w:p>
        </w:tc>
        <w:tc>
          <w:tcPr>
            <w:tcW w:w="2126" w:type="dxa"/>
            <w:noWrap w:val="0"/>
            <w:vAlign w:val="center"/>
          </w:tcPr>
          <w:p w14:paraId="3DA53940">
            <w:pPr>
              <w:jc w:val="center"/>
              <w:outlineLvl w:val="9"/>
              <w:rPr>
                <w:color w:val="auto"/>
                <w:sz w:val="24"/>
                <w:highlight w:val="none"/>
              </w:rPr>
            </w:pPr>
          </w:p>
        </w:tc>
        <w:tc>
          <w:tcPr>
            <w:tcW w:w="1875" w:type="dxa"/>
            <w:noWrap w:val="0"/>
            <w:vAlign w:val="center"/>
          </w:tcPr>
          <w:p w14:paraId="3D5DF2FF">
            <w:pPr>
              <w:jc w:val="center"/>
              <w:outlineLvl w:val="9"/>
              <w:rPr>
                <w:color w:val="auto"/>
                <w:sz w:val="24"/>
                <w:highlight w:val="none"/>
              </w:rPr>
            </w:pPr>
          </w:p>
        </w:tc>
        <w:tc>
          <w:tcPr>
            <w:tcW w:w="1009" w:type="dxa"/>
            <w:noWrap w:val="0"/>
            <w:vAlign w:val="center"/>
          </w:tcPr>
          <w:p w14:paraId="51F43BB2">
            <w:pPr>
              <w:jc w:val="center"/>
              <w:outlineLvl w:val="9"/>
              <w:rPr>
                <w:color w:val="auto"/>
                <w:sz w:val="24"/>
                <w:highlight w:val="none"/>
              </w:rPr>
            </w:pPr>
          </w:p>
        </w:tc>
      </w:tr>
      <w:tr w14:paraId="40297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9FFB89">
            <w:pPr>
              <w:jc w:val="center"/>
              <w:outlineLvl w:val="9"/>
              <w:rPr>
                <w:color w:val="auto"/>
                <w:sz w:val="24"/>
                <w:highlight w:val="none"/>
              </w:rPr>
            </w:pPr>
          </w:p>
        </w:tc>
        <w:tc>
          <w:tcPr>
            <w:tcW w:w="1482" w:type="dxa"/>
            <w:noWrap w:val="0"/>
            <w:vAlign w:val="center"/>
          </w:tcPr>
          <w:p w14:paraId="6D4688D6">
            <w:pPr>
              <w:jc w:val="center"/>
              <w:outlineLvl w:val="9"/>
              <w:rPr>
                <w:color w:val="auto"/>
                <w:sz w:val="24"/>
                <w:highlight w:val="none"/>
              </w:rPr>
            </w:pPr>
          </w:p>
        </w:tc>
        <w:tc>
          <w:tcPr>
            <w:tcW w:w="2384" w:type="dxa"/>
            <w:noWrap w:val="0"/>
            <w:vAlign w:val="center"/>
          </w:tcPr>
          <w:p w14:paraId="63C07B55">
            <w:pPr>
              <w:jc w:val="center"/>
              <w:outlineLvl w:val="9"/>
              <w:rPr>
                <w:color w:val="auto"/>
                <w:sz w:val="24"/>
                <w:highlight w:val="none"/>
              </w:rPr>
            </w:pPr>
          </w:p>
        </w:tc>
        <w:tc>
          <w:tcPr>
            <w:tcW w:w="2126" w:type="dxa"/>
            <w:noWrap w:val="0"/>
            <w:vAlign w:val="center"/>
          </w:tcPr>
          <w:p w14:paraId="41404F6B">
            <w:pPr>
              <w:jc w:val="center"/>
              <w:outlineLvl w:val="9"/>
              <w:rPr>
                <w:color w:val="auto"/>
                <w:sz w:val="24"/>
                <w:highlight w:val="none"/>
              </w:rPr>
            </w:pPr>
          </w:p>
        </w:tc>
        <w:tc>
          <w:tcPr>
            <w:tcW w:w="1875" w:type="dxa"/>
            <w:noWrap w:val="0"/>
            <w:vAlign w:val="center"/>
          </w:tcPr>
          <w:p w14:paraId="46ABACA9">
            <w:pPr>
              <w:jc w:val="center"/>
              <w:outlineLvl w:val="9"/>
              <w:rPr>
                <w:color w:val="auto"/>
                <w:sz w:val="24"/>
                <w:highlight w:val="none"/>
              </w:rPr>
            </w:pPr>
          </w:p>
        </w:tc>
        <w:tc>
          <w:tcPr>
            <w:tcW w:w="1009" w:type="dxa"/>
            <w:noWrap w:val="0"/>
            <w:vAlign w:val="center"/>
          </w:tcPr>
          <w:p w14:paraId="7E211075">
            <w:pPr>
              <w:jc w:val="center"/>
              <w:outlineLvl w:val="9"/>
              <w:rPr>
                <w:color w:val="auto"/>
                <w:sz w:val="24"/>
                <w:highlight w:val="none"/>
              </w:rPr>
            </w:pPr>
          </w:p>
        </w:tc>
      </w:tr>
      <w:tr w14:paraId="44DF4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2F6B455">
            <w:pPr>
              <w:jc w:val="center"/>
              <w:outlineLvl w:val="9"/>
              <w:rPr>
                <w:color w:val="auto"/>
                <w:sz w:val="24"/>
                <w:highlight w:val="none"/>
              </w:rPr>
            </w:pPr>
          </w:p>
        </w:tc>
        <w:tc>
          <w:tcPr>
            <w:tcW w:w="1482" w:type="dxa"/>
            <w:noWrap w:val="0"/>
            <w:vAlign w:val="center"/>
          </w:tcPr>
          <w:p w14:paraId="14DA9FE5">
            <w:pPr>
              <w:jc w:val="center"/>
              <w:outlineLvl w:val="9"/>
              <w:rPr>
                <w:color w:val="auto"/>
                <w:sz w:val="24"/>
                <w:highlight w:val="none"/>
              </w:rPr>
            </w:pPr>
          </w:p>
        </w:tc>
        <w:tc>
          <w:tcPr>
            <w:tcW w:w="2384" w:type="dxa"/>
            <w:noWrap w:val="0"/>
            <w:vAlign w:val="center"/>
          </w:tcPr>
          <w:p w14:paraId="1AC1F958">
            <w:pPr>
              <w:jc w:val="center"/>
              <w:outlineLvl w:val="9"/>
              <w:rPr>
                <w:color w:val="auto"/>
                <w:sz w:val="24"/>
                <w:highlight w:val="none"/>
              </w:rPr>
            </w:pPr>
          </w:p>
        </w:tc>
        <w:tc>
          <w:tcPr>
            <w:tcW w:w="2126" w:type="dxa"/>
            <w:noWrap w:val="0"/>
            <w:vAlign w:val="center"/>
          </w:tcPr>
          <w:p w14:paraId="36C16705">
            <w:pPr>
              <w:jc w:val="center"/>
              <w:outlineLvl w:val="9"/>
              <w:rPr>
                <w:color w:val="auto"/>
                <w:sz w:val="24"/>
                <w:highlight w:val="none"/>
              </w:rPr>
            </w:pPr>
          </w:p>
        </w:tc>
        <w:tc>
          <w:tcPr>
            <w:tcW w:w="1875" w:type="dxa"/>
            <w:noWrap w:val="0"/>
            <w:vAlign w:val="center"/>
          </w:tcPr>
          <w:p w14:paraId="7979F568">
            <w:pPr>
              <w:jc w:val="center"/>
              <w:outlineLvl w:val="9"/>
              <w:rPr>
                <w:color w:val="auto"/>
                <w:sz w:val="24"/>
                <w:highlight w:val="none"/>
              </w:rPr>
            </w:pPr>
          </w:p>
        </w:tc>
        <w:tc>
          <w:tcPr>
            <w:tcW w:w="1009" w:type="dxa"/>
            <w:noWrap w:val="0"/>
            <w:vAlign w:val="center"/>
          </w:tcPr>
          <w:p w14:paraId="5F266707">
            <w:pPr>
              <w:jc w:val="center"/>
              <w:outlineLvl w:val="9"/>
              <w:rPr>
                <w:color w:val="auto"/>
                <w:sz w:val="24"/>
                <w:highlight w:val="none"/>
              </w:rPr>
            </w:pPr>
          </w:p>
        </w:tc>
      </w:tr>
      <w:tr w14:paraId="6343D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B26E95">
            <w:pPr>
              <w:jc w:val="center"/>
              <w:outlineLvl w:val="9"/>
              <w:rPr>
                <w:color w:val="auto"/>
                <w:sz w:val="24"/>
                <w:highlight w:val="none"/>
              </w:rPr>
            </w:pPr>
          </w:p>
        </w:tc>
        <w:tc>
          <w:tcPr>
            <w:tcW w:w="1482" w:type="dxa"/>
            <w:noWrap w:val="0"/>
            <w:vAlign w:val="center"/>
          </w:tcPr>
          <w:p w14:paraId="29769723">
            <w:pPr>
              <w:jc w:val="center"/>
              <w:outlineLvl w:val="9"/>
              <w:rPr>
                <w:color w:val="auto"/>
                <w:sz w:val="24"/>
                <w:highlight w:val="none"/>
              </w:rPr>
            </w:pPr>
          </w:p>
        </w:tc>
        <w:tc>
          <w:tcPr>
            <w:tcW w:w="2384" w:type="dxa"/>
            <w:noWrap w:val="0"/>
            <w:vAlign w:val="center"/>
          </w:tcPr>
          <w:p w14:paraId="1CE57BD2">
            <w:pPr>
              <w:jc w:val="center"/>
              <w:outlineLvl w:val="9"/>
              <w:rPr>
                <w:color w:val="auto"/>
                <w:sz w:val="24"/>
                <w:highlight w:val="none"/>
              </w:rPr>
            </w:pPr>
          </w:p>
        </w:tc>
        <w:tc>
          <w:tcPr>
            <w:tcW w:w="2126" w:type="dxa"/>
            <w:noWrap w:val="0"/>
            <w:vAlign w:val="center"/>
          </w:tcPr>
          <w:p w14:paraId="027279D3">
            <w:pPr>
              <w:jc w:val="center"/>
              <w:outlineLvl w:val="9"/>
              <w:rPr>
                <w:color w:val="auto"/>
                <w:sz w:val="24"/>
                <w:highlight w:val="none"/>
              </w:rPr>
            </w:pPr>
          </w:p>
        </w:tc>
        <w:tc>
          <w:tcPr>
            <w:tcW w:w="1875" w:type="dxa"/>
            <w:noWrap w:val="0"/>
            <w:vAlign w:val="center"/>
          </w:tcPr>
          <w:p w14:paraId="5FF1BE25">
            <w:pPr>
              <w:jc w:val="center"/>
              <w:outlineLvl w:val="9"/>
              <w:rPr>
                <w:color w:val="auto"/>
                <w:sz w:val="24"/>
                <w:highlight w:val="none"/>
              </w:rPr>
            </w:pPr>
          </w:p>
        </w:tc>
        <w:tc>
          <w:tcPr>
            <w:tcW w:w="1009" w:type="dxa"/>
            <w:noWrap w:val="0"/>
            <w:vAlign w:val="center"/>
          </w:tcPr>
          <w:p w14:paraId="02E962B4">
            <w:pPr>
              <w:jc w:val="center"/>
              <w:outlineLvl w:val="9"/>
              <w:rPr>
                <w:color w:val="auto"/>
                <w:sz w:val="24"/>
                <w:highlight w:val="none"/>
              </w:rPr>
            </w:pPr>
          </w:p>
        </w:tc>
      </w:tr>
      <w:tr w14:paraId="12AE5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E148E2">
            <w:pPr>
              <w:jc w:val="center"/>
              <w:outlineLvl w:val="9"/>
              <w:rPr>
                <w:color w:val="auto"/>
                <w:sz w:val="24"/>
                <w:highlight w:val="none"/>
              </w:rPr>
            </w:pPr>
          </w:p>
        </w:tc>
        <w:tc>
          <w:tcPr>
            <w:tcW w:w="1482" w:type="dxa"/>
            <w:noWrap w:val="0"/>
            <w:vAlign w:val="center"/>
          </w:tcPr>
          <w:p w14:paraId="18F769B4">
            <w:pPr>
              <w:jc w:val="center"/>
              <w:outlineLvl w:val="9"/>
              <w:rPr>
                <w:color w:val="auto"/>
                <w:sz w:val="24"/>
                <w:highlight w:val="none"/>
              </w:rPr>
            </w:pPr>
          </w:p>
        </w:tc>
        <w:tc>
          <w:tcPr>
            <w:tcW w:w="2384" w:type="dxa"/>
            <w:noWrap w:val="0"/>
            <w:vAlign w:val="center"/>
          </w:tcPr>
          <w:p w14:paraId="1522A624">
            <w:pPr>
              <w:jc w:val="center"/>
              <w:outlineLvl w:val="9"/>
              <w:rPr>
                <w:color w:val="auto"/>
                <w:sz w:val="24"/>
                <w:highlight w:val="none"/>
              </w:rPr>
            </w:pPr>
          </w:p>
        </w:tc>
        <w:tc>
          <w:tcPr>
            <w:tcW w:w="2126" w:type="dxa"/>
            <w:noWrap w:val="0"/>
            <w:vAlign w:val="center"/>
          </w:tcPr>
          <w:p w14:paraId="5A290DFE">
            <w:pPr>
              <w:jc w:val="center"/>
              <w:outlineLvl w:val="9"/>
              <w:rPr>
                <w:color w:val="auto"/>
                <w:sz w:val="24"/>
                <w:highlight w:val="none"/>
              </w:rPr>
            </w:pPr>
          </w:p>
        </w:tc>
        <w:tc>
          <w:tcPr>
            <w:tcW w:w="1875" w:type="dxa"/>
            <w:noWrap w:val="0"/>
            <w:vAlign w:val="center"/>
          </w:tcPr>
          <w:p w14:paraId="34F988D7">
            <w:pPr>
              <w:jc w:val="center"/>
              <w:outlineLvl w:val="9"/>
              <w:rPr>
                <w:color w:val="auto"/>
                <w:sz w:val="24"/>
                <w:highlight w:val="none"/>
              </w:rPr>
            </w:pPr>
          </w:p>
        </w:tc>
        <w:tc>
          <w:tcPr>
            <w:tcW w:w="1009" w:type="dxa"/>
            <w:noWrap w:val="0"/>
            <w:vAlign w:val="center"/>
          </w:tcPr>
          <w:p w14:paraId="611EC81F">
            <w:pPr>
              <w:jc w:val="center"/>
              <w:outlineLvl w:val="9"/>
              <w:rPr>
                <w:color w:val="auto"/>
                <w:sz w:val="24"/>
                <w:highlight w:val="none"/>
              </w:rPr>
            </w:pPr>
          </w:p>
        </w:tc>
      </w:tr>
      <w:tr w14:paraId="1DA39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4549FDA">
            <w:pPr>
              <w:jc w:val="center"/>
              <w:outlineLvl w:val="9"/>
              <w:rPr>
                <w:color w:val="auto"/>
                <w:sz w:val="24"/>
                <w:highlight w:val="none"/>
              </w:rPr>
            </w:pPr>
          </w:p>
        </w:tc>
        <w:tc>
          <w:tcPr>
            <w:tcW w:w="1482" w:type="dxa"/>
            <w:noWrap w:val="0"/>
            <w:vAlign w:val="center"/>
          </w:tcPr>
          <w:p w14:paraId="31490A11">
            <w:pPr>
              <w:jc w:val="center"/>
              <w:outlineLvl w:val="9"/>
              <w:rPr>
                <w:color w:val="auto"/>
                <w:sz w:val="24"/>
                <w:highlight w:val="none"/>
              </w:rPr>
            </w:pPr>
          </w:p>
        </w:tc>
        <w:tc>
          <w:tcPr>
            <w:tcW w:w="2384" w:type="dxa"/>
            <w:noWrap w:val="0"/>
            <w:vAlign w:val="center"/>
          </w:tcPr>
          <w:p w14:paraId="615BC2F4">
            <w:pPr>
              <w:jc w:val="center"/>
              <w:outlineLvl w:val="9"/>
              <w:rPr>
                <w:color w:val="auto"/>
                <w:sz w:val="24"/>
                <w:highlight w:val="none"/>
              </w:rPr>
            </w:pPr>
          </w:p>
        </w:tc>
        <w:tc>
          <w:tcPr>
            <w:tcW w:w="2126" w:type="dxa"/>
            <w:noWrap w:val="0"/>
            <w:vAlign w:val="center"/>
          </w:tcPr>
          <w:p w14:paraId="04A3C2CF">
            <w:pPr>
              <w:jc w:val="center"/>
              <w:outlineLvl w:val="9"/>
              <w:rPr>
                <w:color w:val="auto"/>
                <w:sz w:val="24"/>
                <w:highlight w:val="none"/>
              </w:rPr>
            </w:pPr>
          </w:p>
        </w:tc>
        <w:tc>
          <w:tcPr>
            <w:tcW w:w="1875" w:type="dxa"/>
            <w:noWrap w:val="0"/>
            <w:vAlign w:val="center"/>
          </w:tcPr>
          <w:p w14:paraId="488BFFAA">
            <w:pPr>
              <w:jc w:val="center"/>
              <w:outlineLvl w:val="9"/>
              <w:rPr>
                <w:color w:val="auto"/>
                <w:sz w:val="24"/>
                <w:highlight w:val="none"/>
              </w:rPr>
            </w:pPr>
          </w:p>
        </w:tc>
        <w:tc>
          <w:tcPr>
            <w:tcW w:w="1009" w:type="dxa"/>
            <w:noWrap w:val="0"/>
            <w:vAlign w:val="center"/>
          </w:tcPr>
          <w:p w14:paraId="50A828BB">
            <w:pPr>
              <w:jc w:val="center"/>
              <w:outlineLvl w:val="9"/>
              <w:rPr>
                <w:color w:val="auto"/>
                <w:sz w:val="24"/>
                <w:highlight w:val="none"/>
              </w:rPr>
            </w:pPr>
          </w:p>
        </w:tc>
      </w:tr>
    </w:tbl>
    <w:p w14:paraId="5E456D3E">
      <w:pPr>
        <w:tabs>
          <w:tab w:val="left" w:pos="1800"/>
          <w:tab w:val="left" w:pos="5580"/>
        </w:tabs>
        <w:spacing w:line="360" w:lineRule="auto"/>
        <w:ind w:firstLine="360"/>
        <w:jc w:val="left"/>
        <w:outlineLvl w:val="9"/>
        <w:rPr>
          <w:color w:val="auto"/>
          <w:sz w:val="24"/>
          <w:highlight w:val="none"/>
          <w:u w:val="single"/>
        </w:rPr>
      </w:pPr>
    </w:p>
    <w:p w14:paraId="2D996113">
      <w:pPr>
        <w:tabs>
          <w:tab w:val="left" w:pos="1800"/>
          <w:tab w:val="left" w:pos="5580"/>
        </w:tabs>
        <w:spacing w:line="360" w:lineRule="auto"/>
        <w:ind w:firstLine="360"/>
        <w:jc w:val="left"/>
        <w:outlineLvl w:val="9"/>
        <w:rPr>
          <w:color w:val="auto"/>
          <w:sz w:val="24"/>
          <w:highlight w:val="none"/>
          <w:u w:val="single"/>
        </w:rPr>
      </w:pPr>
    </w:p>
    <w:p w14:paraId="66911B43">
      <w:pPr>
        <w:tabs>
          <w:tab w:val="left" w:pos="1800"/>
          <w:tab w:val="left" w:pos="5580"/>
        </w:tabs>
        <w:jc w:val="left"/>
        <w:outlineLvl w:val="9"/>
        <w:rPr>
          <w:color w:val="auto"/>
          <w:sz w:val="24"/>
          <w:highlight w:val="none"/>
        </w:rPr>
      </w:pPr>
      <w:r>
        <w:rPr>
          <w:color w:val="auto"/>
          <w:sz w:val="24"/>
          <w:highlight w:val="none"/>
        </w:rPr>
        <w:t>注：</w:t>
      </w:r>
    </w:p>
    <w:p w14:paraId="1E6153F0">
      <w:pPr>
        <w:tabs>
          <w:tab w:val="left" w:pos="1800"/>
          <w:tab w:val="left" w:pos="5580"/>
        </w:tabs>
        <w:jc w:val="left"/>
        <w:outlineLvl w:val="9"/>
        <w:rPr>
          <w:color w:val="auto"/>
          <w:sz w:val="24"/>
          <w:highlight w:val="none"/>
        </w:rPr>
      </w:pPr>
      <w:r>
        <w:rPr>
          <w:rFonts w:hint="eastAsia"/>
          <w:color w:val="auto"/>
          <w:sz w:val="24"/>
          <w:highlight w:val="none"/>
        </w:rPr>
        <w:t>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响应</w:t>
      </w:r>
      <w:r>
        <w:rPr>
          <w:color w:val="auto"/>
          <w:sz w:val="24"/>
          <w:highlight w:val="none"/>
        </w:rPr>
        <w:t>。此表中若无任何文字说明，内容为空白，则</w:t>
      </w:r>
      <w:r>
        <w:rPr>
          <w:b/>
          <w:color w:val="auto"/>
          <w:sz w:val="24"/>
          <w:highlight w:val="none"/>
        </w:rPr>
        <w:t>响应无效</w:t>
      </w:r>
      <w:r>
        <w:rPr>
          <w:color w:val="auto"/>
          <w:sz w:val="24"/>
          <w:highlight w:val="none"/>
        </w:rPr>
        <w:t>。</w:t>
      </w:r>
    </w:p>
    <w:p w14:paraId="7F8E9F85">
      <w:pPr>
        <w:tabs>
          <w:tab w:val="left" w:pos="1800"/>
          <w:tab w:val="left" w:pos="5580"/>
        </w:tabs>
        <w:jc w:val="left"/>
        <w:outlineLvl w:val="9"/>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4DA2FD6D">
      <w:pPr>
        <w:tabs>
          <w:tab w:val="left" w:pos="1800"/>
          <w:tab w:val="left" w:pos="5580"/>
        </w:tabs>
        <w:jc w:val="left"/>
        <w:outlineLvl w:val="9"/>
        <w:rPr>
          <w:color w:val="auto"/>
          <w:sz w:val="24"/>
          <w:highlight w:val="none"/>
        </w:rPr>
      </w:pPr>
    </w:p>
    <w:p w14:paraId="7924D4E2">
      <w:pPr>
        <w:outlineLvl w:val="9"/>
        <w:rPr>
          <w:color w:val="auto"/>
          <w:sz w:val="24"/>
          <w:szCs w:val="20"/>
          <w:highlight w:val="none"/>
        </w:rPr>
      </w:pPr>
    </w:p>
    <w:p w14:paraId="08E24861">
      <w:pPr>
        <w:spacing w:before="25" w:after="25" w:line="360" w:lineRule="auto"/>
        <w:outlineLvl w:val="9"/>
        <w:rPr>
          <w:color w:val="auto"/>
          <w:sz w:val="24"/>
          <w:highlight w:val="none"/>
          <w:lang w:val="zh-CN"/>
        </w:rPr>
      </w:pPr>
      <w:r>
        <w:rPr>
          <w:color w:val="auto"/>
          <w:sz w:val="24"/>
          <w:highlight w:val="none"/>
          <w:lang w:val="zh-CN"/>
        </w:rPr>
        <w:t xml:space="preserve">                  </w:t>
      </w:r>
    </w:p>
    <w:p w14:paraId="668A0D67">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6793382F">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5F3C0BD2">
      <w:pPr>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10</w:t>
      </w:r>
      <w:r>
        <w:rPr>
          <w:color w:val="auto"/>
          <w:sz w:val="24"/>
          <w:szCs w:val="20"/>
          <w:highlight w:val="none"/>
        </w:rPr>
        <w:t xml:space="preserve">  </w:t>
      </w:r>
      <w:r>
        <w:rPr>
          <w:rFonts w:hint="eastAsia"/>
          <w:color w:val="auto"/>
          <w:sz w:val="24"/>
          <w:szCs w:val="20"/>
          <w:highlight w:val="none"/>
        </w:rPr>
        <w:t>项目实施方案等，包括但不限于如下主题：</w:t>
      </w:r>
    </w:p>
    <w:p w14:paraId="51E7743F">
      <w:pPr>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1）拟投入场地设施</w:t>
      </w:r>
      <w:r>
        <w:rPr>
          <w:rFonts w:hint="eastAsia" w:ascii="宋体" w:hAnsi="宋体" w:cs="宋体"/>
          <w:color w:val="auto"/>
          <w:sz w:val="24"/>
          <w:szCs w:val="20"/>
          <w:highlight w:val="none"/>
          <w:lang w:eastAsia="zh-CN"/>
        </w:rPr>
        <w:t>；</w:t>
      </w:r>
    </w:p>
    <w:p w14:paraId="2D820910">
      <w:pPr>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2</w:t>
      </w:r>
      <w:r>
        <w:rPr>
          <w:rFonts w:hint="eastAsia" w:ascii="宋体" w:hAnsi="宋体" w:cs="宋体"/>
          <w:color w:val="auto"/>
          <w:sz w:val="24"/>
          <w:szCs w:val="20"/>
          <w:highlight w:val="none"/>
        </w:rPr>
        <w:t>）产品质量控制方案</w:t>
      </w:r>
      <w:r>
        <w:rPr>
          <w:rFonts w:hint="eastAsia" w:ascii="宋体" w:hAnsi="宋体" w:cs="宋体"/>
          <w:color w:val="auto"/>
          <w:sz w:val="24"/>
          <w:szCs w:val="20"/>
          <w:highlight w:val="none"/>
          <w:lang w:eastAsia="zh-CN"/>
        </w:rPr>
        <w:t>；</w:t>
      </w:r>
    </w:p>
    <w:p w14:paraId="42C91137">
      <w:pPr>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rPr>
        <w:t>）服务质量控制方案</w:t>
      </w:r>
      <w:r>
        <w:rPr>
          <w:rFonts w:hint="eastAsia" w:ascii="宋体" w:hAnsi="宋体" w:cs="宋体"/>
          <w:color w:val="auto"/>
          <w:sz w:val="24"/>
          <w:szCs w:val="20"/>
          <w:highlight w:val="none"/>
          <w:lang w:eastAsia="zh-CN"/>
        </w:rPr>
        <w:t>；</w:t>
      </w:r>
    </w:p>
    <w:p w14:paraId="58432DF1">
      <w:pPr>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4</w:t>
      </w:r>
      <w:r>
        <w:rPr>
          <w:rFonts w:hint="eastAsia" w:ascii="宋体" w:hAnsi="宋体" w:cs="宋体"/>
          <w:color w:val="auto"/>
          <w:sz w:val="24"/>
          <w:szCs w:val="20"/>
          <w:highlight w:val="none"/>
        </w:rPr>
        <w:t>）卫生管理控制方案</w:t>
      </w:r>
      <w:r>
        <w:rPr>
          <w:rFonts w:hint="eastAsia" w:ascii="宋体" w:hAnsi="宋体" w:cs="宋体"/>
          <w:color w:val="auto"/>
          <w:sz w:val="24"/>
          <w:szCs w:val="20"/>
          <w:highlight w:val="none"/>
          <w:lang w:eastAsia="zh-CN"/>
        </w:rPr>
        <w:t>；</w:t>
      </w:r>
    </w:p>
    <w:p w14:paraId="78FB6A4D">
      <w:pPr>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）服务团队配备人员分工安排及岗位管理制度</w:t>
      </w:r>
      <w:r>
        <w:rPr>
          <w:rFonts w:hint="eastAsia" w:ascii="宋体" w:hAnsi="宋体" w:cs="宋体"/>
          <w:color w:val="auto"/>
          <w:sz w:val="24"/>
          <w:szCs w:val="20"/>
          <w:highlight w:val="none"/>
          <w:lang w:eastAsia="zh-CN"/>
        </w:rPr>
        <w:t>；</w:t>
      </w:r>
    </w:p>
    <w:p w14:paraId="1CCE72E6">
      <w:pPr>
        <w:spacing w:line="560" w:lineRule="exact"/>
        <w:ind w:firstLine="480"/>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6</w:t>
      </w:r>
      <w:r>
        <w:rPr>
          <w:rFonts w:hint="eastAsia" w:ascii="宋体" w:hAnsi="宋体" w:cs="宋体"/>
          <w:color w:val="auto"/>
          <w:sz w:val="24"/>
          <w:szCs w:val="20"/>
          <w:highlight w:val="none"/>
        </w:rPr>
        <w:t>）应急响应预案</w:t>
      </w:r>
      <w:r>
        <w:rPr>
          <w:rFonts w:hint="eastAsia" w:ascii="宋体" w:hAnsi="宋体" w:cs="宋体"/>
          <w:color w:val="auto"/>
          <w:sz w:val="24"/>
          <w:szCs w:val="20"/>
          <w:highlight w:val="none"/>
          <w:lang w:eastAsia="zh-CN"/>
        </w:rPr>
        <w:t>；</w:t>
      </w:r>
    </w:p>
    <w:p w14:paraId="2211807A">
      <w:pPr>
        <w:spacing w:line="560" w:lineRule="exact"/>
        <w:ind w:firstLine="480"/>
        <w:rPr>
          <w:rFonts w:hint="eastAsia" w:eastAsia="宋体"/>
          <w:color w:val="auto"/>
          <w:sz w:val="24"/>
          <w:szCs w:val="20"/>
          <w:highlight w:val="none"/>
          <w:lang w:eastAsia="zh-CN"/>
        </w:rPr>
      </w:pPr>
      <w:r>
        <w:rPr>
          <w:rFonts w:hint="eastAsia" w:ascii="宋体" w:hAnsi="宋体" w:cs="宋体"/>
          <w:color w:val="auto"/>
          <w:sz w:val="24"/>
          <w:szCs w:val="20"/>
          <w:highlight w:val="none"/>
          <w:lang w:val="en-US" w:eastAsia="zh-CN"/>
        </w:rPr>
        <w:t>7</w:t>
      </w:r>
      <w:r>
        <w:rPr>
          <w:rFonts w:hint="eastAsia" w:ascii="宋体" w:hAnsi="宋体" w:cs="宋体"/>
          <w:color w:val="auto"/>
          <w:sz w:val="24"/>
          <w:szCs w:val="20"/>
          <w:highlight w:val="none"/>
        </w:rPr>
        <w:t>）服务及时性</w:t>
      </w:r>
      <w:r>
        <w:rPr>
          <w:rFonts w:hint="eastAsia" w:ascii="宋体" w:hAnsi="宋体" w:cs="宋体"/>
          <w:color w:val="auto"/>
          <w:sz w:val="24"/>
          <w:szCs w:val="20"/>
          <w:highlight w:val="none"/>
          <w:lang w:eastAsia="zh-CN"/>
        </w:rPr>
        <w:t>。</w:t>
      </w:r>
    </w:p>
    <w:p w14:paraId="7F2F8567">
      <w:pPr>
        <w:spacing w:line="560" w:lineRule="exact"/>
        <w:ind w:firstLine="480"/>
        <w:outlineLvl w:val="9"/>
        <w:rPr>
          <w:color w:val="auto"/>
          <w:sz w:val="24"/>
          <w:szCs w:val="20"/>
          <w:highlight w:val="none"/>
        </w:rPr>
      </w:pPr>
      <w:r>
        <w:rPr>
          <w:rFonts w:hint="eastAsia"/>
          <w:color w:val="auto"/>
          <w:sz w:val="24"/>
          <w:szCs w:val="20"/>
          <w:highlight w:val="none"/>
        </w:rPr>
        <w:br w:type="page" w:clear="all"/>
      </w:r>
      <w:r>
        <w:rPr>
          <w:rFonts w:hint="eastAsia"/>
          <w:color w:val="auto"/>
          <w:sz w:val="24"/>
          <w:szCs w:val="20"/>
          <w:highlight w:val="none"/>
        </w:rPr>
        <w:t>1</w:t>
      </w:r>
      <w:r>
        <w:rPr>
          <w:rFonts w:hint="eastAsia"/>
          <w:color w:val="auto"/>
          <w:sz w:val="24"/>
          <w:szCs w:val="20"/>
          <w:highlight w:val="none"/>
          <w:lang w:val="en-US" w:eastAsia="zh-CN"/>
        </w:rPr>
        <w:t>1</w:t>
      </w:r>
      <w:r>
        <w:rPr>
          <w:rFonts w:hint="eastAsia"/>
          <w:color w:val="auto"/>
          <w:sz w:val="24"/>
          <w:szCs w:val="20"/>
          <w:highlight w:val="none"/>
        </w:rPr>
        <w:t xml:space="preserve">  参加本项目人员一览表</w:t>
      </w:r>
    </w:p>
    <w:p w14:paraId="747FAFB8">
      <w:pPr>
        <w:spacing w:line="360" w:lineRule="auto"/>
        <w:jc w:val="center"/>
        <w:outlineLvl w:val="9"/>
        <w:rPr>
          <w:rFonts w:hint="eastAsia" w:ascii="宋体" w:hAnsi="宋体"/>
          <w:b/>
          <w:color w:val="auto"/>
          <w:sz w:val="32"/>
          <w:szCs w:val="32"/>
          <w:highlight w:val="none"/>
        </w:rPr>
      </w:pPr>
    </w:p>
    <w:p w14:paraId="40D2DC9C">
      <w:pPr>
        <w:spacing w:line="360" w:lineRule="auto"/>
        <w:jc w:val="center"/>
        <w:outlineLvl w:val="9"/>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35A33C75">
      <w:pPr>
        <w:spacing w:line="360" w:lineRule="auto"/>
        <w:outlineLvl w:val="9"/>
        <w:rPr>
          <w:rFonts w:ascii="宋体" w:hAnsi="宋体"/>
          <w:color w:val="auto"/>
          <w:sz w:val="22"/>
          <w:highlight w:val="none"/>
        </w:rPr>
      </w:pPr>
    </w:p>
    <w:p w14:paraId="2C8525CF">
      <w:pPr>
        <w:spacing w:line="360" w:lineRule="auto"/>
        <w:outlineLvl w:val="9"/>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6"/>
        <w:tblW w:w="0" w:type="auto"/>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E00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center"/>
          </w:tcPr>
          <w:p w14:paraId="08BC9DE9">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序号</w:t>
            </w:r>
          </w:p>
        </w:tc>
        <w:tc>
          <w:tcPr>
            <w:tcW w:w="945" w:type="dxa"/>
            <w:noWrap w:val="0"/>
            <w:vAlign w:val="center"/>
          </w:tcPr>
          <w:p w14:paraId="0B708739">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姓名</w:t>
            </w:r>
          </w:p>
        </w:tc>
        <w:tc>
          <w:tcPr>
            <w:tcW w:w="945" w:type="dxa"/>
            <w:noWrap w:val="0"/>
            <w:vAlign w:val="center"/>
          </w:tcPr>
          <w:p w14:paraId="6BFE342B">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性别</w:t>
            </w:r>
          </w:p>
        </w:tc>
        <w:tc>
          <w:tcPr>
            <w:tcW w:w="945" w:type="dxa"/>
            <w:noWrap w:val="0"/>
            <w:vAlign w:val="center"/>
          </w:tcPr>
          <w:p w14:paraId="3045E68E">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年龄</w:t>
            </w:r>
          </w:p>
        </w:tc>
        <w:tc>
          <w:tcPr>
            <w:tcW w:w="945" w:type="dxa"/>
            <w:noWrap w:val="0"/>
            <w:vAlign w:val="center"/>
          </w:tcPr>
          <w:p w14:paraId="484FD0BC">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noWrap w:val="0"/>
            <w:vAlign w:val="center"/>
          </w:tcPr>
          <w:p w14:paraId="7CB72485">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专业</w:t>
            </w:r>
          </w:p>
        </w:tc>
        <w:tc>
          <w:tcPr>
            <w:tcW w:w="945" w:type="dxa"/>
            <w:noWrap w:val="0"/>
            <w:vAlign w:val="center"/>
          </w:tcPr>
          <w:p w14:paraId="7F4A4AA1">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职称</w:t>
            </w:r>
          </w:p>
        </w:tc>
        <w:tc>
          <w:tcPr>
            <w:tcW w:w="945" w:type="dxa"/>
            <w:noWrap w:val="0"/>
            <w:vAlign w:val="center"/>
          </w:tcPr>
          <w:p w14:paraId="3AC4D539">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noWrap w:val="0"/>
            <w:vAlign w:val="center"/>
          </w:tcPr>
          <w:p w14:paraId="799606AB">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责任</w:t>
            </w:r>
          </w:p>
          <w:p w14:paraId="115F0608">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noWrap w:val="0"/>
            <w:vAlign w:val="center"/>
          </w:tcPr>
          <w:p w14:paraId="31309C52">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项目经历或主要工作</w:t>
            </w:r>
          </w:p>
          <w:p w14:paraId="2E2DAB3E">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业绩</w:t>
            </w:r>
          </w:p>
        </w:tc>
      </w:tr>
      <w:tr w14:paraId="6D91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35D9090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7087EA8">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29F70D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C4C2FDB">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FCF7F28">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F3206F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E7058B8">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04094E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F98E1A8">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A5E19C4">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r w14:paraId="67BB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1CAD518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414B0A7">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8F24BEB">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4B6E475">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484F336">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6A4351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7633BE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4F3FE1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0A0015C">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3D94865">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r w14:paraId="7483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4BEB348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5F559FC">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1452D78">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F559612">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E87EA5C">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1E9BBA5">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D3E06C4">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30F9A7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479B30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65F023C">
            <w:pPr>
              <w:tabs>
                <w:tab w:val="left" w:pos="9765"/>
              </w:tabs>
              <w:spacing w:line="360" w:lineRule="auto"/>
              <w:outlineLvl w:val="9"/>
              <w:rPr>
                <w:rFonts w:ascii="宋体" w:hAnsi="宋体" w:cs="宋体"/>
                <w:color w:val="auto"/>
                <w:sz w:val="24"/>
                <w:highlight w:val="none"/>
              </w:rPr>
            </w:pPr>
          </w:p>
        </w:tc>
      </w:tr>
      <w:tr w14:paraId="616F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20A180E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1A45AA3">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66CEC59">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54F6C81">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7E3B8B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6AC8F1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828F83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D958FC7">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DB16F3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12E8A6F">
            <w:pPr>
              <w:tabs>
                <w:tab w:val="left" w:pos="9765"/>
              </w:tabs>
              <w:spacing w:line="360" w:lineRule="auto"/>
              <w:outlineLvl w:val="9"/>
              <w:rPr>
                <w:rFonts w:ascii="宋体" w:hAnsi="宋体" w:cs="宋体"/>
                <w:color w:val="auto"/>
                <w:sz w:val="24"/>
                <w:highlight w:val="none"/>
              </w:rPr>
            </w:pPr>
          </w:p>
        </w:tc>
      </w:tr>
      <w:tr w14:paraId="506A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65680AA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C50AC01">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67D918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F0E7845">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0AD95D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E0E412D">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3FC9A7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6610DC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F1EC499">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6706E3B">
            <w:pPr>
              <w:tabs>
                <w:tab w:val="left" w:pos="9765"/>
              </w:tabs>
              <w:spacing w:line="360" w:lineRule="auto"/>
              <w:outlineLvl w:val="9"/>
              <w:rPr>
                <w:rFonts w:ascii="宋体" w:hAnsi="宋体" w:cs="宋体"/>
                <w:color w:val="auto"/>
                <w:sz w:val="24"/>
                <w:highlight w:val="none"/>
              </w:rPr>
            </w:pPr>
          </w:p>
        </w:tc>
      </w:tr>
      <w:tr w14:paraId="69E7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7FE820BD">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8FC057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CC46DD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8727BAC">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2FBF71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E79513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89FCB94">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7113A6C">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4C09F7F">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0D7F3D1">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bl>
    <w:p w14:paraId="6AFEC38C">
      <w:pPr>
        <w:tabs>
          <w:tab w:val="left" w:pos="9765"/>
        </w:tabs>
        <w:outlineLvl w:val="9"/>
        <w:rPr>
          <w:rFonts w:ascii="宋体" w:hAnsi="宋体" w:cs="宋体"/>
          <w:b/>
          <w:color w:val="auto"/>
          <w:sz w:val="24"/>
          <w:highlight w:val="none"/>
          <w:lang w:val="zh-CN"/>
        </w:rPr>
      </w:pPr>
    </w:p>
    <w:p w14:paraId="57FA3717">
      <w:pPr>
        <w:tabs>
          <w:tab w:val="left" w:pos="9765"/>
        </w:tabs>
        <w:spacing w:line="360" w:lineRule="auto"/>
        <w:outlineLvl w:val="9"/>
        <w:rPr>
          <w:rFonts w:ascii="宋体" w:hAnsi="宋体" w:cs="宋体"/>
          <w:b/>
          <w:color w:val="auto"/>
          <w:sz w:val="24"/>
          <w:highlight w:val="none"/>
        </w:rPr>
      </w:pPr>
      <w:r>
        <w:rPr>
          <w:rFonts w:hint="eastAsia" w:ascii="宋体" w:hAnsi="宋体" w:cs="宋体"/>
          <w:b/>
          <w:color w:val="auto"/>
          <w:sz w:val="24"/>
          <w:highlight w:val="none"/>
          <w:lang w:val="zh-CN"/>
        </w:rPr>
        <w:t>注：参加本项目人员须是供应商正式职工。</w:t>
      </w:r>
    </w:p>
    <w:p w14:paraId="20912C94">
      <w:pPr>
        <w:spacing w:line="360" w:lineRule="auto"/>
        <w:outlineLvl w:val="9"/>
        <w:rPr>
          <w:rFonts w:ascii="宋体" w:hAnsi="宋体"/>
          <w:color w:val="auto"/>
          <w:sz w:val="24"/>
          <w:highlight w:val="none"/>
        </w:rPr>
      </w:pPr>
    </w:p>
    <w:p w14:paraId="49642F87">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3E8C7E5A">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54EB689F">
      <w:pPr>
        <w:outlineLvl w:val="9"/>
        <w:rPr>
          <w:color w:val="auto"/>
          <w:sz w:val="24"/>
          <w:szCs w:val="20"/>
          <w:highlight w:val="none"/>
        </w:rPr>
      </w:pPr>
      <w:r>
        <w:rPr>
          <w:color w:val="auto"/>
          <w:sz w:val="22"/>
          <w:highlight w:val="none"/>
        </w:rPr>
        <w:br w:type="page" w:clear="all"/>
      </w:r>
      <w:bookmarkStart w:id="658" w:name="_Toc288738839"/>
      <w:bookmarkStart w:id="659" w:name="_Toc288738397"/>
      <w:r>
        <w:rPr>
          <w:rFonts w:hint="eastAsia"/>
          <w:color w:val="auto"/>
          <w:sz w:val="24"/>
          <w:szCs w:val="20"/>
          <w:highlight w:val="none"/>
        </w:rPr>
        <w:t>1</w:t>
      </w:r>
      <w:r>
        <w:rPr>
          <w:rFonts w:hint="eastAsia"/>
          <w:color w:val="auto"/>
          <w:sz w:val="24"/>
          <w:szCs w:val="20"/>
          <w:highlight w:val="none"/>
          <w:lang w:val="en-US" w:eastAsia="zh-CN"/>
        </w:rPr>
        <w:t>2</w:t>
      </w:r>
      <w:r>
        <w:rPr>
          <w:rFonts w:hint="eastAsia"/>
          <w:color w:val="auto"/>
          <w:sz w:val="24"/>
          <w:szCs w:val="20"/>
          <w:highlight w:val="none"/>
        </w:rPr>
        <w:t xml:space="preserve">  相关业绩案例一览表</w:t>
      </w:r>
    </w:p>
    <w:p w14:paraId="6DD8495C">
      <w:pPr>
        <w:outlineLvl w:val="9"/>
        <w:rPr>
          <w:color w:val="auto"/>
          <w:sz w:val="24"/>
          <w:szCs w:val="20"/>
          <w:highlight w:val="none"/>
        </w:rPr>
      </w:pPr>
    </w:p>
    <w:p w14:paraId="286FF57F">
      <w:pPr>
        <w:jc w:val="center"/>
        <w:outlineLvl w:val="9"/>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658"/>
      <w:bookmarkEnd w:id="659"/>
    </w:p>
    <w:p w14:paraId="076BC4F8">
      <w:pPr>
        <w:spacing w:line="360" w:lineRule="auto"/>
        <w:jc w:val="center"/>
        <w:outlineLvl w:val="9"/>
        <w:rPr>
          <w:rFonts w:ascii="宋体" w:hAnsi="宋体"/>
          <w:b/>
          <w:color w:val="auto"/>
          <w:sz w:val="28"/>
          <w:szCs w:val="30"/>
          <w:highlight w:val="none"/>
        </w:rPr>
      </w:pPr>
    </w:p>
    <w:p w14:paraId="12067D19">
      <w:pP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5F040C7D">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6141889">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876C0F0">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4304AD6">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506CEE2">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3DE8161">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C2802AE">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037A7C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8B45196">
            <w:pPr>
              <w:tabs>
                <w:tab w:val="left" w:pos="9765"/>
              </w:tabs>
              <w:spacing w:line="360" w:lineRule="auto"/>
              <w:jc w:val="center"/>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5E1C742">
            <w:pPr>
              <w:tabs>
                <w:tab w:val="left" w:pos="9765"/>
              </w:tabs>
              <w:spacing w:line="360" w:lineRule="auto"/>
              <w:jc w:val="center"/>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41B553F">
            <w:pPr>
              <w:tabs>
                <w:tab w:val="left" w:pos="9765"/>
              </w:tabs>
              <w:spacing w:line="360" w:lineRule="auto"/>
              <w:jc w:val="center"/>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152A39F">
            <w:pPr>
              <w:tabs>
                <w:tab w:val="left" w:pos="9765"/>
              </w:tabs>
              <w:spacing w:line="360" w:lineRule="auto"/>
              <w:jc w:val="center"/>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B4C592A">
            <w:pPr>
              <w:tabs>
                <w:tab w:val="left" w:pos="9765"/>
              </w:tabs>
              <w:spacing w:line="360" w:lineRule="auto"/>
              <w:ind w:hanging="523"/>
              <w:jc w:val="center"/>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D97DB18">
            <w:pPr>
              <w:tabs>
                <w:tab w:val="left" w:pos="9765"/>
              </w:tabs>
              <w:spacing w:line="360" w:lineRule="auto"/>
              <w:ind w:hanging="523"/>
              <w:jc w:val="center"/>
              <w:outlineLvl w:val="9"/>
              <w:rPr>
                <w:rFonts w:ascii="宋体" w:hAnsi="宋体" w:cs="宋体"/>
                <w:color w:val="auto"/>
                <w:sz w:val="24"/>
                <w:highlight w:val="none"/>
              </w:rPr>
            </w:pPr>
          </w:p>
        </w:tc>
      </w:tr>
      <w:tr w14:paraId="11E3E13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D05158E">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F92BEAD">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E859836">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4C2DBA4">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FAFD029">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C889B23">
            <w:pPr>
              <w:tabs>
                <w:tab w:val="left" w:pos="9765"/>
              </w:tabs>
              <w:spacing w:line="360" w:lineRule="auto"/>
              <w:outlineLvl w:val="9"/>
              <w:rPr>
                <w:rFonts w:ascii="宋体" w:hAnsi="宋体" w:cs="宋体"/>
                <w:color w:val="auto"/>
                <w:sz w:val="24"/>
                <w:highlight w:val="none"/>
              </w:rPr>
            </w:pPr>
          </w:p>
        </w:tc>
      </w:tr>
      <w:tr w14:paraId="14E1A0A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B0E340B">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A608EF1">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D1FAA26">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9BF9E5E">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72D052A">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18FDA3E">
            <w:pPr>
              <w:tabs>
                <w:tab w:val="left" w:pos="9765"/>
              </w:tabs>
              <w:spacing w:line="360" w:lineRule="auto"/>
              <w:outlineLvl w:val="9"/>
              <w:rPr>
                <w:rFonts w:ascii="宋体" w:hAnsi="宋体" w:cs="宋体"/>
                <w:color w:val="auto"/>
                <w:sz w:val="24"/>
                <w:highlight w:val="none"/>
              </w:rPr>
            </w:pPr>
          </w:p>
        </w:tc>
      </w:tr>
      <w:tr w14:paraId="418F518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05CE52A">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DF9E84E">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9E9AA1D">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277592">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1C90C7A">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E5A4C5F">
            <w:pPr>
              <w:tabs>
                <w:tab w:val="left" w:pos="9765"/>
              </w:tabs>
              <w:spacing w:line="360" w:lineRule="auto"/>
              <w:outlineLvl w:val="9"/>
              <w:rPr>
                <w:rFonts w:ascii="宋体" w:hAnsi="宋体" w:cs="宋体"/>
                <w:color w:val="auto"/>
                <w:sz w:val="24"/>
                <w:highlight w:val="none"/>
              </w:rPr>
            </w:pPr>
          </w:p>
        </w:tc>
      </w:tr>
      <w:tr w14:paraId="5895351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7C9EC5F">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B5A68EE">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7088BAB">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266932">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78E11AE">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A3BA774">
            <w:pPr>
              <w:tabs>
                <w:tab w:val="left" w:pos="9765"/>
              </w:tabs>
              <w:spacing w:line="360" w:lineRule="auto"/>
              <w:outlineLvl w:val="9"/>
              <w:rPr>
                <w:rFonts w:ascii="宋体" w:hAnsi="宋体" w:cs="宋体"/>
                <w:color w:val="auto"/>
                <w:sz w:val="24"/>
                <w:highlight w:val="none"/>
              </w:rPr>
            </w:pPr>
          </w:p>
        </w:tc>
      </w:tr>
      <w:tr w14:paraId="46BA6BD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66AF632">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9E60FE">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EC4A2FC">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22BA93B">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D19095">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D5604F2">
            <w:pPr>
              <w:tabs>
                <w:tab w:val="left" w:pos="9765"/>
              </w:tabs>
              <w:spacing w:line="360" w:lineRule="auto"/>
              <w:outlineLvl w:val="9"/>
              <w:rPr>
                <w:rFonts w:ascii="宋体" w:hAnsi="宋体" w:cs="宋体"/>
                <w:color w:val="auto"/>
                <w:sz w:val="24"/>
                <w:highlight w:val="none"/>
              </w:rPr>
            </w:pPr>
          </w:p>
        </w:tc>
      </w:tr>
      <w:tr w14:paraId="6333FFF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F4AC97D">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75124E3">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AC2D83">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5FC8730">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0AE8F2A">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FDB519">
            <w:pPr>
              <w:tabs>
                <w:tab w:val="left" w:pos="9765"/>
              </w:tabs>
              <w:spacing w:line="360" w:lineRule="auto"/>
              <w:outlineLvl w:val="9"/>
              <w:rPr>
                <w:rFonts w:ascii="宋体" w:hAnsi="宋体" w:cs="宋体"/>
                <w:color w:val="auto"/>
                <w:sz w:val="24"/>
                <w:highlight w:val="none"/>
              </w:rPr>
            </w:pPr>
          </w:p>
        </w:tc>
      </w:tr>
      <w:tr w14:paraId="3C77F52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905E413">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54C826E">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646DB49">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D7D46E2">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5E75373">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3AF9BE9">
            <w:pPr>
              <w:tabs>
                <w:tab w:val="left" w:pos="9765"/>
              </w:tabs>
              <w:spacing w:line="360" w:lineRule="auto"/>
              <w:outlineLvl w:val="9"/>
              <w:rPr>
                <w:rFonts w:ascii="宋体" w:hAnsi="宋体" w:cs="宋体"/>
                <w:color w:val="auto"/>
                <w:sz w:val="24"/>
                <w:highlight w:val="none"/>
              </w:rPr>
            </w:pPr>
          </w:p>
        </w:tc>
      </w:tr>
      <w:tr w14:paraId="4EA57D7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B87716D">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3AC21E3">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13A846">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AE35083">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63371AA">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1A037B">
            <w:pPr>
              <w:tabs>
                <w:tab w:val="left" w:pos="9765"/>
              </w:tabs>
              <w:spacing w:line="360" w:lineRule="auto"/>
              <w:outlineLvl w:val="9"/>
              <w:rPr>
                <w:rFonts w:ascii="宋体" w:hAnsi="宋体" w:cs="宋体"/>
                <w:color w:val="auto"/>
                <w:sz w:val="24"/>
                <w:highlight w:val="none"/>
              </w:rPr>
            </w:pPr>
          </w:p>
        </w:tc>
      </w:tr>
    </w:tbl>
    <w:p w14:paraId="543FA4F0">
      <w:pPr>
        <w:tabs>
          <w:tab w:val="left" w:pos="9765"/>
        </w:tabs>
        <w:outlineLvl w:val="9"/>
        <w:rPr>
          <w:rFonts w:ascii="宋体" w:hAnsi="宋体" w:cs="宋体"/>
          <w:color w:val="auto"/>
          <w:sz w:val="24"/>
          <w:highlight w:val="none"/>
          <w:lang w:val="zh-CN"/>
        </w:rPr>
      </w:pPr>
    </w:p>
    <w:p w14:paraId="0273C598">
      <w:pPr>
        <w:spacing w:line="360" w:lineRule="auto"/>
        <w:outlineLvl w:val="9"/>
        <w:rPr>
          <w:rFonts w:ascii="宋体" w:hAnsi="宋体" w:cs="宋体"/>
          <w:color w:val="auto"/>
          <w:sz w:val="24"/>
          <w:highlight w:val="none"/>
        </w:rPr>
      </w:pPr>
    </w:p>
    <w:p w14:paraId="1A653EA7">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37ACE8D3">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5D67219B">
      <w:pPr>
        <w:rPr>
          <w:rFonts w:hint="eastAsia"/>
          <w:color w:val="auto"/>
          <w:sz w:val="24"/>
          <w:szCs w:val="20"/>
          <w:highlight w:val="none"/>
        </w:rPr>
      </w:pPr>
      <w:r>
        <w:rPr>
          <w:color w:val="auto"/>
          <w:sz w:val="24"/>
          <w:highlight w:val="none"/>
        </w:rPr>
        <w:br w:type="page" w:clear="all"/>
      </w:r>
    </w:p>
    <w:p w14:paraId="76080DC4">
      <w:pPr>
        <w:spacing w:line="360" w:lineRule="auto"/>
        <w:rPr>
          <w:color w:val="auto"/>
          <w:sz w:val="24"/>
          <w:highlight w:val="none"/>
          <w:lang w:val="zh-CN"/>
        </w:rPr>
      </w:pPr>
      <w:r>
        <w:rPr>
          <w:rFonts w:hint="eastAsia"/>
          <w:color w:val="auto"/>
          <w:sz w:val="24"/>
          <w:szCs w:val="20"/>
          <w:highlight w:val="none"/>
          <w:lang w:val="en-US" w:eastAsia="zh-CN"/>
        </w:rPr>
        <w:t xml:space="preserve">14  </w:t>
      </w:r>
      <w:r>
        <w:rPr>
          <w:rFonts w:hint="eastAsia"/>
          <w:color w:val="auto"/>
          <w:sz w:val="24"/>
          <w:szCs w:val="20"/>
          <w:highlight w:val="none"/>
          <w:lang w:eastAsia="zh-CN"/>
        </w:rPr>
        <w:t>竞争性磋商文件</w:t>
      </w:r>
      <w:r>
        <w:rPr>
          <w:color w:val="auto"/>
          <w:sz w:val="24"/>
          <w:szCs w:val="20"/>
          <w:highlight w:val="none"/>
        </w:rPr>
        <w:t>要求提供或</w:t>
      </w:r>
      <w:r>
        <w:rPr>
          <w:rFonts w:hint="eastAsia"/>
          <w:color w:val="auto"/>
          <w:sz w:val="24"/>
          <w:szCs w:val="20"/>
          <w:highlight w:val="none"/>
          <w:lang w:eastAsia="zh-CN"/>
        </w:rPr>
        <w:t>供应商</w:t>
      </w:r>
      <w:r>
        <w:rPr>
          <w:color w:val="auto"/>
          <w:sz w:val="24"/>
          <w:szCs w:val="20"/>
          <w:highlight w:val="none"/>
        </w:rPr>
        <w:t>认为应附的其他材</w:t>
      </w:r>
      <w:r>
        <w:rPr>
          <w:rFonts w:hint="eastAsia"/>
          <w:color w:val="auto"/>
          <w:sz w:val="24"/>
          <w:szCs w:val="20"/>
          <w:highlight w:val="none"/>
          <w:lang w:val="en-US" w:eastAsia="zh-CN"/>
        </w:rPr>
        <w:t>料</w:t>
      </w:r>
    </w:p>
    <w:bookmarkEnd w:id="660"/>
    <w:sectPr>
      <w:pgSz w:w="11907" w:h="16840"/>
      <w:pgMar w:top="1418" w:right="1134" w:bottom="1418" w:left="1701"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B0503020202020204"/>
    <w:charset w:val="00"/>
    <w:family w:val="auto"/>
    <w:pitch w:val="default"/>
    <w:sig w:usb0="00000000" w:usb1="00000000" w:usb2="00000000" w:usb3="00000000" w:csb0="00000000" w:csb1="00000000"/>
  </w:font>
  <w:font w:name="KSOFBDAA233C">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0C1F7">
    <w:pPr>
      <w:pStyle w:val="23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E4DEF">
    <w:pPr>
      <w:pStyle w:val="239"/>
      <w:framePr w:wrap="around" w:vAnchor="text" w:hAnchor="margin" w:xAlign="center" w:y="1"/>
      <w:rPr>
        <w:rStyle w:val="265"/>
      </w:rPr>
    </w:pPr>
    <w:r>
      <w:fldChar w:fldCharType="begin"/>
    </w:r>
    <w:r>
      <w:rPr>
        <w:rStyle w:val="265"/>
      </w:rPr>
      <w:instrText xml:space="preserve">PAGE  </w:instrText>
    </w:r>
    <w:r>
      <w:fldChar w:fldCharType="end"/>
    </w:r>
  </w:p>
  <w:p w14:paraId="708362C0">
    <w:pPr>
      <w:pStyle w:val="23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681C">
    <w:pPr>
      <w:pStyle w:val="23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C0CCA">
    <w:pPr>
      <w:pStyle w:val="23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3043A6">
                          <w:pPr>
                            <w:pStyle w:val="239"/>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p w14:paraId="6884B48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3043A6">
                    <w:pPr>
                      <w:pStyle w:val="239"/>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p w14:paraId="6884B48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806DC">
    <w:pPr>
      <w:pStyle w:val="23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296234">
                          <w:pPr>
                            <w:pStyle w:val="239"/>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74A47C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296234">
                    <w:pPr>
                      <w:pStyle w:val="239"/>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74A47C58"/>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A279B">
    <w:pPr>
      <w:pStyle w:val="239"/>
      <w:framePr w:wrap="around" w:vAnchor="text" w:hAnchor="margin" w:xAlign="right" w:y="1"/>
      <w:rPr>
        <w:rStyle w:val="265"/>
      </w:rPr>
    </w:pPr>
    <w:r>
      <w:rPr>
        <w:rStyle w:val="265"/>
      </w:rPr>
      <w:fldChar w:fldCharType="begin"/>
    </w:r>
    <w:r>
      <w:rPr>
        <w:rStyle w:val="265"/>
      </w:rPr>
      <w:instrText xml:space="preserve">PAGE  </w:instrText>
    </w:r>
    <w:r>
      <w:rPr>
        <w:rStyle w:val="265"/>
      </w:rPr>
      <w:fldChar w:fldCharType="end"/>
    </w:r>
  </w:p>
  <w:p w14:paraId="255F8C26">
    <w:pPr>
      <w:pStyle w:val="239"/>
      <w:ind w:right="360"/>
    </w:pPr>
  </w:p>
  <w:p w14:paraId="42E2B61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C2001">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2B2">
    <w:pPr>
      <w:pStyle w:val="241"/>
      <w:jc w:val="right"/>
    </w:pPr>
    <w:r>
      <w:rPr>
        <w:rFonts w:hint="eastAsia"/>
        <w:lang w:eastAsia="zh-CN"/>
      </w:rPr>
      <w:t>2026年-2028年南大街街道食堂食材配送服务项目</w:t>
    </w:r>
    <w:r>
      <w:rPr>
        <w:rFonts w:hint="eastAsia"/>
      </w:rPr>
      <w:t xml:space="preserve">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82AC4">
    <w:pPr>
      <w:pStyle w:val="241"/>
      <w:pBdr>
        <w:bottom w:val="single" w:color="000000" w:sz="4" w:space="1"/>
      </w:pBdr>
      <w:jc w:val="right"/>
      <w:rPr>
        <w:rFonts w:hint="eastAsia" w:eastAsia="宋体"/>
        <w:lang w:eastAsia="zh-CN"/>
      </w:rPr>
    </w:pPr>
    <w:r>
      <w:rPr>
        <w:rFonts w:hint="eastAsia"/>
        <w:lang w:eastAsia="zh-CN"/>
      </w:rPr>
      <w:t>2026年-2028年南大街街道食堂食材配送服务项目竞争性磋商文件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40509">
    <w:pPr>
      <w:pStyle w:val="241"/>
    </w:pPr>
  </w:p>
  <w:p w14:paraId="4DE71A9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CC38A">
    <w:pPr>
      <w:pStyle w:val="24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lowerLetter"/>
      <w:pStyle w:val="42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BA9F2CD3"/>
    <w:multiLevelType w:val="singleLevel"/>
    <w:tmpl w:val="BA9F2CD3"/>
    <w:lvl w:ilvl="0" w:tentative="0">
      <w:start w:val="2"/>
      <w:numFmt w:val="decimal"/>
      <w:suff w:val="nothing"/>
      <w:lvlText w:val="（%1）"/>
      <w:lvlJc w:val="left"/>
    </w:lvl>
  </w:abstractNum>
  <w:abstractNum w:abstractNumId="3">
    <w:nsid w:val="BF205925"/>
    <w:multiLevelType w:val="multilevel"/>
    <w:tmpl w:val="BF205925"/>
    <w:lvl w:ilvl="0" w:tentative="0">
      <w:start w:val="1"/>
      <w:numFmt w:val="decimal"/>
      <w:pStyle w:val="37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F092B84"/>
    <w:multiLevelType w:val="multilevel"/>
    <w:tmpl w:val="CF092B84"/>
    <w:lvl w:ilvl="0" w:tentative="0">
      <w:start w:val="1"/>
      <w:numFmt w:val="decimal"/>
      <w:pStyle w:val="385"/>
      <w:lvlText w:val="%1"/>
      <w:lvlJc w:val="left"/>
      <w:pPr>
        <w:ind w:left="680" w:hanging="680"/>
      </w:pPr>
      <w:rPr>
        <w:rFonts w:hint="eastAsia" w:ascii="宋体" w:hAnsi="宋体" w:eastAsia="宋体"/>
      </w:rPr>
    </w:lvl>
    <w:lvl w:ilvl="1" w:tentative="0">
      <w:start w:val="1"/>
      <w:numFmt w:val="decimal"/>
      <w:pStyle w:val="329"/>
      <w:lvlText w:val="%1.%2"/>
      <w:lvlJc w:val="left"/>
      <w:pPr>
        <w:ind w:left="851" w:hanging="851"/>
      </w:pPr>
      <w:rPr>
        <w:rFonts w:hint="eastAsia" w:ascii="宋体" w:hAnsi="宋体" w:eastAsia="宋体"/>
        <w:color w:val="000000"/>
      </w:rPr>
    </w:lvl>
    <w:lvl w:ilvl="2" w:tentative="0">
      <w:start w:val="1"/>
      <w:numFmt w:val="decimal"/>
      <w:pStyle w:val="43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5">
    <w:nsid w:val="0053208E"/>
    <w:multiLevelType w:val="multilevel"/>
    <w:tmpl w:val="0053208E"/>
    <w:lvl w:ilvl="0" w:tentative="0">
      <w:start w:val="1"/>
      <w:numFmt w:val="decimal"/>
      <w:pStyle w:val="334"/>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33"/>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4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404"/>
      <w:suff w:val="nothing"/>
      <w:lvlText w:val="%1.%2.%3.%4.%5.%6　"/>
      <w:lvlJc w:val="left"/>
      <w:pPr>
        <w:ind w:left="-25" w:firstLine="0"/>
      </w:pPr>
      <w:rPr>
        <w:rFonts w:ascii="Times New Roman" w:hAnsi="Times New Roman" w:eastAsia="宋体"/>
        <w:b/>
        <w:i w:val="0"/>
        <w:sz w:val="28"/>
      </w:rPr>
    </w:lvl>
    <w:lvl w:ilvl="6" w:tentative="0">
      <w:start w:val="1"/>
      <w:numFmt w:val="lowerLetter"/>
      <w:pStyle w:val="32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3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decimal"/>
      <w:lvlText w:val="%1．"/>
      <w:lvlJc w:val="left"/>
      <w:pPr>
        <w:tabs>
          <w:tab w:val="left" w:pos="768"/>
        </w:tabs>
        <w:ind w:left="768" w:hanging="360"/>
      </w:pPr>
      <w:rPr>
        <w:rFonts w:hint="eastAsia"/>
      </w:rPr>
    </w:lvl>
    <w:lvl w:ilvl="1" w:tentative="0">
      <w:start w:val="1"/>
      <w:numFmt w:val="decimal"/>
      <w:pStyle w:val="4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25B654F3"/>
    <w:multiLevelType w:val="multilevel"/>
    <w:tmpl w:val="25B654F3"/>
    <w:lvl w:ilvl="0" w:tentative="0">
      <w:start w:val="1"/>
      <w:numFmt w:val="decimal"/>
      <w:pStyle w:val="42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59ADCABA"/>
    <w:multiLevelType w:val="multilevel"/>
    <w:tmpl w:val="59ADCABA"/>
    <w:lvl w:ilvl="0" w:tentative="0">
      <w:start w:val="1"/>
      <w:numFmt w:val="decimal"/>
      <w:pStyle w:val="34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4"/>
  </w:num>
  <w:num w:numId="3">
    <w:abstractNumId w:val="10"/>
  </w:num>
  <w:num w:numId="4">
    <w:abstractNumId w:val="3"/>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E1C7B"/>
    <w:rsid w:val="029D398F"/>
    <w:rsid w:val="02BF64DF"/>
    <w:rsid w:val="038F71C9"/>
    <w:rsid w:val="03C53C26"/>
    <w:rsid w:val="03FE0C9D"/>
    <w:rsid w:val="04533DF5"/>
    <w:rsid w:val="04DA4474"/>
    <w:rsid w:val="05B64EE1"/>
    <w:rsid w:val="079271C3"/>
    <w:rsid w:val="088758FF"/>
    <w:rsid w:val="0970353C"/>
    <w:rsid w:val="0A2C6704"/>
    <w:rsid w:val="0A967038"/>
    <w:rsid w:val="0AB55FCE"/>
    <w:rsid w:val="0AC77248"/>
    <w:rsid w:val="0AE60A5A"/>
    <w:rsid w:val="0B09174F"/>
    <w:rsid w:val="0BEB5A3D"/>
    <w:rsid w:val="0C6A432F"/>
    <w:rsid w:val="0D616EF9"/>
    <w:rsid w:val="0D7F321E"/>
    <w:rsid w:val="0DC76478"/>
    <w:rsid w:val="0E1E0456"/>
    <w:rsid w:val="0EB30A56"/>
    <w:rsid w:val="0FC177BC"/>
    <w:rsid w:val="1014006E"/>
    <w:rsid w:val="10307443"/>
    <w:rsid w:val="103356D2"/>
    <w:rsid w:val="10625426"/>
    <w:rsid w:val="11511F61"/>
    <w:rsid w:val="11FD2BDC"/>
    <w:rsid w:val="12D40754"/>
    <w:rsid w:val="12D469A6"/>
    <w:rsid w:val="133236CD"/>
    <w:rsid w:val="140F5AA0"/>
    <w:rsid w:val="14824A9F"/>
    <w:rsid w:val="14B2243D"/>
    <w:rsid w:val="15B43B06"/>
    <w:rsid w:val="16803B9B"/>
    <w:rsid w:val="169C2D04"/>
    <w:rsid w:val="16FB7CDD"/>
    <w:rsid w:val="170C2E82"/>
    <w:rsid w:val="177D6E43"/>
    <w:rsid w:val="17A90275"/>
    <w:rsid w:val="17C52D61"/>
    <w:rsid w:val="189A74A3"/>
    <w:rsid w:val="19060F4C"/>
    <w:rsid w:val="196B7CFF"/>
    <w:rsid w:val="197A527D"/>
    <w:rsid w:val="1A143057"/>
    <w:rsid w:val="1BC81537"/>
    <w:rsid w:val="1CAC4C24"/>
    <w:rsid w:val="1D27498A"/>
    <w:rsid w:val="1D7F1C04"/>
    <w:rsid w:val="1DE80FB7"/>
    <w:rsid w:val="1F414E32"/>
    <w:rsid w:val="1F8A7683"/>
    <w:rsid w:val="1FFE4E71"/>
    <w:rsid w:val="20AA24A7"/>
    <w:rsid w:val="20DD736E"/>
    <w:rsid w:val="20DE6C42"/>
    <w:rsid w:val="212B7D45"/>
    <w:rsid w:val="213A23D0"/>
    <w:rsid w:val="216F237A"/>
    <w:rsid w:val="21D56297"/>
    <w:rsid w:val="21F93D33"/>
    <w:rsid w:val="22522884"/>
    <w:rsid w:val="226671AC"/>
    <w:rsid w:val="22925F36"/>
    <w:rsid w:val="22C75BE0"/>
    <w:rsid w:val="234C7656"/>
    <w:rsid w:val="23D16B49"/>
    <w:rsid w:val="25901F70"/>
    <w:rsid w:val="25CE54D7"/>
    <w:rsid w:val="25FF38E2"/>
    <w:rsid w:val="260907D6"/>
    <w:rsid w:val="261371E6"/>
    <w:rsid w:val="26432C84"/>
    <w:rsid w:val="26CF75A9"/>
    <w:rsid w:val="28165A14"/>
    <w:rsid w:val="2862727C"/>
    <w:rsid w:val="28FD25CF"/>
    <w:rsid w:val="290C781C"/>
    <w:rsid w:val="297812E3"/>
    <w:rsid w:val="299E4777"/>
    <w:rsid w:val="29CD7F0D"/>
    <w:rsid w:val="2A603E27"/>
    <w:rsid w:val="2AF754D0"/>
    <w:rsid w:val="2B016518"/>
    <w:rsid w:val="2BEE0681"/>
    <w:rsid w:val="2C0C28AB"/>
    <w:rsid w:val="2C580736"/>
    <w:rsid w:val="2CFF241A"/>
    <w:rsid w:val="2E7540FB"/>
    <w:rsid w:val="2E8A3FDD"/>
    <w:rsid w:val="2E9F5C62"/>
    <w:rsid w:val="2FEB5261"/>
    <w:rsid w:val="300735C1"/>
    <w:rsid w:val="304353DE"/>
    <w:rsid w:val="30750EE5"/>
    <w:rsid w:val="30803872"/>
    <w:rsid w:val="30CA7F98"/>
    <w:rsid w:val="30D51E0F"/>
    <w:rsid w:val="30D52AD3"/>
    <w:rsid w:val="316867E0"/>
    <w:rsid w:val="32C013E2"/>
    <w:rsid w:val="32D83E40"/>
    <w:rsid w:val="340D4A66"/>
    <w:rsid w:val="341C6DCC"/>
    <w:rsid w:val="353A0493"/>
    <w:rsid w:val="355E6877"/>
    <w:rsid w:val="356C6B7A"/>
    <w:rsid w:val="35FA48FF"/>
    <w:rsid w:val="360B630B"/>
    <w:rsid w:val="36105BBD"/>
    <w:rsid w:val="361E756D"/>
    <w:rsid w:val="36842778"/>
    <w:rsid w:val="36924557"/>
    <w:rsid w:val="38190834"/>
    <w:rsid w:val="387C0DC3"/>
    <w:rsid w:val="38964F4F"/>
    <w:rsid w:val="393C6E91"/>
    <w:rsid w:val="39920063"/>
    <w:rsid w:val="39D76BF8"/>
    <w:rsid w:val="39D85791"/>
    <w:rsid w:val="3A945836"/>
    <w:rsid w:val="3AAF5BC7"/>
    <w:rsid w:val="3AD76025"/>
    <w:rsid w:val="3AE758BF"/>
    <w:rsid w:val="3B8E6898"/>
    <w:rsid w:val="3BAC5E63"/>
    <w:rsid w:val="3C4E7B8F"/>
    <w:rsid w:val="3C726A35"/>
    <w:rsid w:val="3D4D22AD"/>
    <w:rsid w:val="3D735FEB"/>
    <w:rsid w:val="3D7D7AB7"/>
    <w:rsid w:val="3E2112C6"/>
    <w:rsid w:val="3E252C28"/>
    <w:rsid w:val="3E4B3711"/>
    <w:rsid w:val="3E546A69"/>
    <w:rsid w:val="3EB218F1"/>
    <w:rsid w:val="3EE14075"/>
    <w:rsid w:val="3F3D5750"/>
    <w:rsid w:val="3FDA11F0"/>
    <w:rsid w:val="3FDD2A8F"/>
    <w:rsid w:val="40420B44"/>
    <w:rsid w:val="413C5593"/>
    <w:rsid w:val="41713A29"/>
    <w:rsid w:val="41F34448"/>
    <w:rsid w:val="42673AA9"/>
    <w:rsid w:val="428F7D86"/>
    <w:rsid w:val="4292152A"/>
    <w:rsid w:val="43685D33"/>
    <w:rsid w:val="447769B0"/>
    <w:rsid w:val="449A1D5B"/>
    <w:rsid w:val="44A931F7"/>
    <w:rsid w:val="44B36987"/>
    <w:rsid w:val="468974CC"/>
    <w:rsid w:val="471C3E9C"/>
    <w:rsid w:val="47324A02"/>
    <w:rsid w:val="475F022D"/>
    <w:rsid w:val="48C11304"/>
    <w:rsid w:val="49145632"/>
    <w:rsid w:val="49E33190"/>
    <w:rsid w:val="4A230166"/>
    <w:rsid w:val="4A4116C4"/>
    <w:rsid w:val="4B575D17"/>
    <w:rsid w:val="4BEB0C49"/>
    <w:rsid w:val="4C321DBE"/>
    <w:rsid w:val="4C440415"/>
    <w:rsid w:val="4CA50D26"/>
    <w:rsid w:val="4CCA7EF7"/>
    <w:rsid w:val="4D896004"/>
    <w:rsid w:val="4D9A5B1B"/>
    <w:rsid w:val="4DA70238"/>
    <w:rsid w:val="4DDA685F"/>
    <w:rsid w:val="4DDC2E25"/>
    <w:rsid w:val="4E757543"/>
    <w:rsid w:val="4E782A0B"/>
    <w:rsid w:val="4E982C97"/>
    <w:rsid w:val="4F9A44F8"/>
    <w:rsid w:val="504906B1"/>
    <w:rsid w:val="50C85164"/>
    <w:rsid w:val="50FB3A77"/>
    <w:rsid w:val="513E4AEA"/>
    <w:rsid w:val="5155185D"/>
    <w:rsid w:val="5181771E"/>
    <w:rsid w:val="52374280"/>
    <w:rsid w:val="529008F4"/>
    <w:rsid w:val="52C611B9"/>
    <w:rsid w:val="52DB08A3"/>
    <w:rsid w:val="52FE08FA"/>
    <w:rsid w:val="530025CF"/>
    <w:rsid w:val="533832DF"/>
    <w:rsid w:val="538C4158"/>
    <w:rsid w:val="541008E5"/>
    <w:rsid w:val="543C323B"/>
    <w:rsid w:val="54AA2F28"/>
    <w:rsid w:val="558E065B"/>
    <w:rsid w:val="56062FA7"/>
    <w:rsid w:val="563A2091"/>
    <w:rsid w:val="56D54254"/>
    <w:rsid w:val="56FF545E"/>
    <w:rsid w:val="572A4DF2"/>
    <w:rsid w:val="57387E1C"/>
    <w:rsid w:val="57C61FAA"/>
    <w:rsid w:val="58AE691E"/>
    <w:rsid w:val="58C12AF6"/>
    <w:rsid w:val="5901594F"/>
    <w:rsid w:val="59017396"/>
    <w:rsid w:val="593B76C2"/>
    <w:rsid w:val="59837D0B"/>
    <w:rsid w:val="5AF95341"/>
    <w:rsid w:val="5B1669EF"/>
    <w:rsid w:val="5B386973"/>
    <w:rsid w:val="5B69702F"/>
    <w:rsid w:val="5BE663CF"/>
    <w:rsid w:val="5C0A51A8"/>
    <w:rsid w:val="5C1523E9"/>
    <w:rsid w:val="5C166CB5"/>
    <w:rsid w:val="5C963E61"/>
    <w:rsid w:val="5CE24DE9"/>
    <w:rsid w:val="5D0631CD"/>
    <w:rsid w:val="5D191652"/>
    <w:rsid w:val="5D9615A2"/>
    <w:rsid w:val="5EB01642"/>
    <w:rsid w:val="5F294F51"/>
    <w:rsid w:val="5F6D4AD6"/>
    <w:rsid w:val="5FDA159C"/>
    <w:rsid w:val="600C0A7C"/>
    <w:rsid w:val="613D7C42"/>
    <w:rsid w:val="616347CD"/>
    <w:rsid w:val="61CA1F20"/>
    <w:rsid w:val="6256493F"/>
    <w:rsid w:val="62665185"/>
    <w:rsid w:val="62994767"/>
    <w:rsid w:val="62DE6052"/>
    <w:rsid w:val="630B190D"/>
    <w:rsid w:val="636E73D6"/>
    <w:rsid w:val="637846F9"/>
    <w:rsid w:val="638B42DC"/>
    <w:rsid w:val="63B527EE"/>
    <w:rsid w:val="63EF1DD2"/>
    <w:rsid w:val="64A0529E"/>
    <w:rsid w:val="64D57B96"/>
    <w:rsid w:val="64DA2918"/>
    <w:rsid w:val="656D301A"/>
    <w:rsid w:val="659C640E"/>
    <w:rsid w:val="65B030BD"/>
    <w:rsid w:val="66A662B1"/>
    <w:rsid w:val="66AE52F7"/>
    <w:rsid w:val="66BE6511"/>
    <w:rsid w:val="66FC25F4"/>
    <w:rsid w:val="67241800"/>
    <w:rsid w:val="685A77CB"/>
    <w:rsid w:val="68DD65B0"/>
    <w:rsid w:val="691E189E"/>
    <w:rsid w:val="69A27DD9"/>
    <w:rsid w:val="6D72610A"/>
    <w:rsid w:val="6E0C67E9"/>
    <w:rsid w:val="6E557B10"/>
    <w:rsid w:val="6EDD006C"/>
    <w:rsid w:val="6F007CA8"/>
    <w:rsid w:val="6F4F1B81"/>
    <w:rsid w:val="6F5C0B92"/>
    <w:rsid w:val="7018504A"/>
    <w:rsid w:val="70953140"/>
    <w:rsid w:val="70D77694"/>
    <w:rsid w:val="71F31B1A"/>
    <w:rsid w:val="72801B2F"/>
    <w:rsid w:val="72802C82"/>
    <w:rsid w:val="72C07522"/>
    <w:rsid w:val="72DB435C"/>
    <w:rsid w:val="738A4913"/>
    <w:rsid w:val="739333DF"/>
    <w:rsid w:val="739658FC"/>
    <w:rsid w:val="74542534"/>
    <w:rsid w:val="74B3733F"/>
    <w:rsid w:val="75B12C58"/>
    <w:rsid w:val="7609628B"/>
    <w:rsid w:val="76677540"/>
    <w:rsid w:val="76D87C69"/>
    <w:rsid w:val="77B7248E"/>
    <w:rsid w:val="77DB6972"/>
    <w:rsid w:val="78556B29"/>
    <w:rsid w:val="78E658B1"/>
    <w:rsid w:val="78E71CAD"/>
    <w:rsid w:val="790A14F7"/>
    <w:rsid w:val="793C00BE"/>
    <w:rsid w:val="793F3897"/>
    <w:rsid w:val="795D254E"/>
    <w:rsid w:val="7A8772A3"/>
    <w:rsid w:val="7B242481"/>
    <w:rsid w:val="7BE6624C"/>
    <w:rsid w:val="7CA0289E"/>
    <w:rsid w:val="7CBD54FB"/>
    <w:rsid w:val="7D4B0563"/>
    <w:rsid w:val="7D6C7FB8"/>
    <w:rsid w:val="7D6F346F"/>
    <w:rsid w:val="7D924BE1"/>
    <w:rsid w:val="7DAA44F4"/>
    <w:rsid w:val="7F5E259D"/>
    <w:rsid w:val="7FB404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autoSpaceDE w:val="0"/>
      <w:autoSpaceDN w:val="0"/>
      <w:adjustRightInd w:val="0"/>
      <w:ind w:firstLine="420"/>
      <w:jc w:val="left"/>
    </w:pPr>
    <w:rPr>
      <w:rFonts w:asci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next w:val="1"/>
    <w:qFormat/>
    <w:uiPriority w:val="0"/>
    <w:pPr>
      <w:shd w:val="clear" w:color="auto" w:fill="000080"/>
    </w:pPr>
  </w:style>
  <w:style w:type="paragraph" w:styleId="15">
    <w:name w:val="annotation text"/>
    <w:basedOn w:val="1"/>
    <w:semiHidden/>
    <w:unhideWhenUsed/>
    <w:qFormat/>
    <w:uiPriority w:val="99"/>
    <w:pPr>
      <w:jc w:val="left"/>
    </w:pPr>
  </w:style>
  <w:style w:type="paragraph" w:styleId="16">
    <w:name w:val="Body Text"/>
    <w:basedOn w:val="1"/>
    <w:next w:val="1"/>
    <w:qFormat/>
    <w:uiPriority w:val="0"/>
    <w:pPr>
      <w:tabs>
        <w:tab w:val="left" w:pos="567"/>
      </w:tabs>
      <w:spacing w:before="120" w:line="22" w:lineRule="atLeast"/>
    </w:pPr>
    <w:rPr>
      <w:rFonts w:ascii="宋体" w:hAnsi="宋体"/>
      <w:sz w:val="24"/>
    </w:rPr>
  </w:style>
  <w:style w:type="paragraph" w:styleId="17">
    <w:name w:val="Body Text Indent"/>
    <w:basedOn w:val="1"/>
    <w:next w:val="1"/>
    <w:qFormat/>
    <w:uiPriority w:val="0"/>
    <w:pPr>
      <w:spacing w:line="360" w:lineRule="auto"/>
      <w:ind w:firstLine="570"/>
    </w:pPr>
    <w:rPr>
      <w:sz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next w:val="6"/>
    <w:qFormat/>
    <w:uiPriority w:val="0"/>
    <w:rPr>
      <w:rFonts w:hint="eastAsia"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link w:val="62"/>
    <w:unhideWhenUsed/>
    <w:qFormat/>
    <w:uiPriority w:val="99"/>
    <w:pPr>
      <w:tabs>
        <w:tab w:val="center" w:pos="7143"/>
        <w:tab w:val="right" w:pos="14287"/>
      </w:tabs>
      <w:spacing w:after="0" w:line="240" w:lineRule="auto"/>
    </w:pPr>
  </w:style>
  <w:style w:type="paragraph" w:styleId="24">
    <w:name w:val="header"/>
    <w:basedOn w:val="1"/>
    <w:link w:val="60"/>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2"/>
    <w:basedOn w:val="17"/>
    <w:qFormat/>
    <w:uiPriority w:val="0"/>
    <w:pPr>
      <w:adjustRightInd w:val="0"/>
      <w:spacing w:after="120" w:line="360" w:lineRule="auto"/>
      <w:ind w:left="420" w:firstLine="420"/>
      <w:textAlignment w:val="baseline"/>
    </w:pPr>
    <w:rPr>
      <w:color w:val="000000"/>
      <w:kern w:val="0"/>
      <w:sz w:val="20"/>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Emphasis"/>
    <w:qFormat/>
    <w:uiPriority w:val="0"/>
    <w:rPr>
      <w:color w:val="CC0033"/>
    </w:rPr>
  </w:style>
  <w:style w:type="character" w:styleId="41">
    <w:name w:val="Hyperlink"/>
    <w:unhideWhenUsed/>
    <w:qFormat/>
    <w:uiPriority w:val="99"/>
    <w:rPr>
      <w:color w:val="0000FF" w:themeColor="hyperlink"/>
      <w:u w:val="single"/>
    </w:rPr>
  </w:style>
  <w:style w:type="character" w:styleId="42">
    <w:name w:val="footnote reference"/>
    <w:unhideWhenUsed/>
    <w:qFormat/>
    <w:uiPriority w:val="99"/>
    <w:rPr>
      <w:vertAlign w:val="superscript"/>
    </w:rPr>
  </w:style>
  <w:style w:type="paragraph" w:customStyle="1" w:styleId="43">
    <w:name w:val="段"/>
    <w:next w:val="1"/>
    <w:unhideWhenUsed/>
    <w:qFormat/>
    <w:uiPriority w:val="0"/>
    <w:pPr>
      <w:spacing w:line="360" w:lineRule="auto"/>
      <w:ind w:firstLine="200"/>
      <w:jc w:val="both"/>
    </w:pPr>
    <w:rPr>
      <w:rFonts w:hint="eastAsia" w:ascii="宋体" w:hAnsi="Times New Roman" w:eastAsia="宋体" w:cs="Times New Roman"/>
      <w:sz w:val="24"/>
      <w:lang w:val="en-US" w:eastAsia="zh-CN" w:bidi="ar-SA"/>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7"/>
    <w:qFormat/>
    <w:uiPriority w:val="9"/>
    <w:rPr>
      <w:rFonts w:ascii="Arial" w:hAnsi="Arial" w:eastAsia="Arial" w:cs="Arial"/>
      <w:b/>
      <w:bCs/>
      <w:sz w:val="24"/>
      <w:szCs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4"/>
    <w:qFormat/>
    <w:uiPriority w:val="99"/>
  </w:style>
  <w:style w:type="character" w:customStyle="1" w:styleId="61">
    <w:name w:val="Footer Char"/>
    <w:link w:val="23"/>
    <w:qFormat/>
    <w:uiPriority w:val="99"/>
  </w:style>
  <w:style w:type="character" w:customStyle="1" w:styleId="62">
    <w:name w:val="Caption Char"/>
    <w:link w:val="23"/>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link w:val="203"/>
    <w:qFormat/>
    <w:uiPriority w:val="0"/>
    <w:pPr>
      <w:keepNext/>
      <w:keepLines/>
      <w:spacing w:before="240" w:after="120" w:line="300" w:lineRule="auto"/>
      <w:jc w:val="center"/>
      <w:outlineLvl w:val="0"/>
    </w:pPr>
    <w:rPr>
      <w:rFonts w:ascii="宋体"/>
      <w:b/>
      <w:sz w:val="32"/>
      <w:szCs w:val="20"/>
    </w:rPr>
  </w:style>
  <w:style w:type="paragraph" w:customStyle="1" w:styleId="192">
    <w:name w:val="标题 21"/>
    <w:basedOn w:val="1"/>
    <w:next w:val="193"/>
    <w:link w:val="204"/>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正文缩进11"/>
    <w:basedOn w:val="1"/>
    <w:next w:val="1"/>
    <w:link w:val="205"/>
    <w:qFormat/>
    <w:uiPriority w:val="0"/>
    <w:pPr>
      <w:ind w:firstLine="420"/>
      <w:jc w:val="left"/>
    </w:pPr>
    <w:rPr>
      <w:rFonts w:ascii="宋体"/>
      <w:sz w:val="24"/>
    </w:rPr>
  </w:style>
  <w:style w:type="paragraph" w:customStyle="1" w:styleId="194">
    <w:name w:val="标题 31"/>
    <w:basedOn w:val="1"/>
    <w:next w:val="1"/>
    <w:link w:val="206"/>
    <w:qFormat/>
    <w:uiPriority w:val="0"/>
    <w:pPr>
      <w:keepNext/>
      <w:keepLines/>
      <w:spacing w:before="360" w:after="120"/>
      <w:jc w:val="left"/>
      <w:outlineLvl w:val="2"/>
    </w:pPr>
    <w:rPr>
      <w:rFonts w:ascii="宋体"/>
      <w:b/>
      <w:sz w:val="24"/>
      <w:szCs w:val="20"/>
      <w:u w:val="single"/>
    </w:rPr>
  </w:style>
  <w:style w:type="paragraph" w:customStyle="1" w:styleId="195">
    <w:name w:val="标题 41"/>
    <w:basedOn w:val="1"/>
    <w:next w:val="1"/>
    <w:link w:val="207"/>
    <w:qFormat/>
    <w:uiPriority w:val="0"/>
    <w:pPr>
      <w:keepNext/>
      <w:keepLines/>
      <w:spacing w:before="280" w:after="290" w:line="376" w:lineRule="atLeast"/>
      <w:outlineLvl w:val="3"/>
    </w:pPr>
    <w:rPr>
      <w:rFonts w:ascii="Arial" w:hAnsi="Arial" w:eastAsia="黑体"/>
      <w:b/>
      <w:sz w:val="28"/>
      <w:szCs w:val="20"/>
    </w:rPr>
  </w:style>
  <w:style w:type="paragraph" w:customStyle="1" w:styleId="196">
    <w:name w:val="标题 51"/>
    <w:basedOn w:val="1"/>
    <w:next w:val="1"/>
    <w:link w:val="208"/>
    <w:qFormat/>
    <w:uiPriority w:val="0"/>
    <w:pPr>
      <w:keepNext/>
      <w:keepLines/>
      <w:spacing w:before="280" w:after="290" w:line="376" w:lineRule="atLeast"/>
      <w:outlineLvl w:val="4"/>
    </w:pPr>
    <w:rPr>
      <w:b/>
      <w:sz w:val="28"/>
      <w:szCs w:val="20"/>
    </w:rPr>
  </w:style>
  <w:style w:type="paragraph" w:customStyle="1" w:styleId="197">
    <w:name w:val="标题 61"/>
    <w:basedOn w:val="1"/>
    <w:next w:val="1"/>
    <w:link w:val="209"/>
    <w:qFormat/>
    <w:uiPriority w:val="0"/>
    <w:pPr>
      <w:keepNext/>
      <w:keepLines/>
      <w:spacing w:before="240" w:after="64" w:line="320" w:lineRule="atLeast"/>
      <w:outlineLvl w:val="5"/>
    </w:pPr>
    <w:rPr>
      <w:rFonts w:ascii="Arial" w:hAnsi="Arial" w:eastAsia="黑体"/>
      <w:b/>
      <w:sz w:val="24"/>
      <w:szCs w:val="20"/>
    </w:rPr>
  </w:style>
  <w:style w:type="paragraph" w:customStyle="1" w:styleId="198">
    <w:name w:val="标题 71"/>
    <w:basedOn w:val="1"/>
    <w:next w:val="1"/>
    <w:link w:val="210"/>
    <w:qFormat/>
    <w:uiPriority w:val="0"/>
    <w:pPr>
      <w:keepNext/>
      <w:keepLines/>
      <w:spacing w:before="240" w:after="64" w:line="320" w:lineRule="atLeast"/>
      <w:outlineLvl w:val="6"/>
    </w:pPr>
    <w:rPr>
      <w:b/>
      <w:sz w:val="24"/>
      <w:szCs w:val="20"/>
    </w:rPr>
  </w:style>
  <w:style w:type="paragraph" w:customStyle="1" w:styleId="199">
    <w:name w:val="标题 81"/>
    <w:basedOn w:val="1"/>
    <w:next w:val="1"/>
    <w:link w:val="211"/>
    <w:qFormat/>
    <w:uiPriority w:val="0"/>
    <w:pPr>
      <w:keepNext/>
      <w:keepLines/>
      <w:spacing w:before="240" w:after="64" w:line="320" w:lineRule="atLeast"/>
      <w:outlineLvl w:val="7"/>
    </w:pPr>
    <w:rPr>
      <w:rFonts w:ascii="Arial" w:hAnsi="Arial" w:eastAsia="黑体"/>
      <w:sz w:val="24"/>
      <w:szCs w:val="20"/>
    </w:rPr>
  </w:style>
  <w:style w:type="paragraph" w:customStyle="1" w:styleId="200">
    <w:name w:val="标题 91"/>
    <w:basedOn w:val="1"/>
    <w:next w:val="1"/>
    <w:link w:val="212"/>
    <w:qFormat/>
    <w:uiPriority w:val="0"/>
    <w:pPr>
      <w:keepNext/>
      <w:keepLines/>
      <w:spacing w:before="240" w:after="64" w:line="320" w:lineRule="atLeast"/>
      <w:outlineLvl w:val="8"/>
    </w:pPr>
    <w:rPr>
      <w:rFonts w:ascii="Arial" w:hAnsi="Arial" w:eastAsia="黑体"/>
      <w:szCs w:val="20"/>
    </w:rPr>
  </w:style>
  <w:style w:type="character" w:customStyle="1" w:styleId="201">
    <w:name w:val="默认段落字体1"/>
    <w:link w:val="1"/>
    <w:unhideWhenUsed/>
    <w:qFormat/>
    <w:uiPriority w:val="1"/>
  </w:style>
  <w:style w:type="table" w:customStyle="1" w:styleId="202">
    <w:name w:val="普通表格1"/>
    <w:unhideWhenUsed/>
    <w:qFormat/>
    <w:uiPriority w:val="99"/>
  </w:style>
  <w:style w:type="character" w:customStyle="1" w:styleId="203">
    <w:name w:val="标题 1 Char"/>
    <w:basedOn w:val="201"/>
    <w:link w:val="191"/>
    <w:qFormat/>
    <w:uiPriority w:val="0"/>
    <w:rPr>
      <w:rFonts w:ascii="宋体"/>
      <w:b/>
      <w:sz w:val="32"/>
    </w:rPr>
  </w:style>
  <w:style w:type="character" w:customStyle="1" w:styleId="204">
    <w:name w:val="标题 2 Char1"/>
    <w:link w:val="192"/>
    <w:qFormat/>
    <w:uiPriority w:val="0"/>
    <w:rPr>
      <w:rFonts w:ascii="Arial" w:hAnsi="Arial" w:eastAsia="黑体"/>
      <w:b/>
      <w:sz w:val="30"/>
      <w:lang w:val="en-US" w:eastAsia="zh-CN" w:bidi="ar-SA"/>
    </w:rPr>
  </w:style>
  <w:style w:type="character" w:customStyle="1" w:styleId="205">
    <w:name w:val="正文缩进 Char1"/>
    <w:link w:val="193"/>
    <w:qFormat/>
    <w:uiPriority w:val="0"/>
    <w:rPr>
      <w:rFonts w:ascii="宋体" w:eastAsia="宋体"/>
      <w:sz w:val="24"/>
      <w:szCs w:val="24"/>
      <w:lang w:val="en-US" w:eastAsia="zh-CN" w:bidi="ar-SA"/>
    </w:rPr>
  </w:style>
  <w:style w:type="character" w:customStyle="1" w:styleId="206">
    <w:name w:val="标题 3 Char1"/>
    <w:link w:val="194"/>
    <w:qFormat/>
    <w:uiPriority w:val="0"/>
    <w:rPr>
      <w:rFonts w:ascii="宋体" w:eastAsia="宋体"/>
      <w:b/>
      <w:sz w:val="24"/>
      <w:u w:val="single"/>
      <w:lang w:val="en-US" w:eastAsia="zh-CN" w:bidi="ar-SA"/>
    </w:rPr>
  </w:style>
  <w:style w:type="character" w:customStyle="1" w:styleId="207">
    <w:name w:val="标题 4 Char"/>
    <w:basedOn w:val="201"/>
    <w:link w:val="195"/>
    <w:qFormat/>
    <w:uiPriority w:val="0"/>
    <w:rPr>
      <w:rFonts w:ascii="Arial" w:hAnsi="Arial" w:eastAsia="黑体"/>
      <w:b/>
      <w:sz w:val="28"/>
    </w:rPr>
  </w:style>
  <w:style w:type="character" w:customStyle="1" w:styleId="208">
    <w:name w:val="标题 5 Char"/>
    <w:basedOn w:val="201"/>
    <w:link w:val="196"/>
    <w:qFormat/>
    <w:uiPriority w:val="0"/>
    <w:rPr>
      <w:b/>
      <w:sz w:val="28"/>
    </w:rPr>
  </w:style>
  <w:style w:type="character" w:customStyle="1" w:styleId="209">
    <w:name w:val="标题 6 Char"/>
    <w:basedOn w:val="201"/>
    <w:link w:val="197"/>
    <w:qFormat/>
    <w:uiPriority w:val="0"/>
    <w:rPr>
      <w:rFonts w:ascii="Arial" w:hAnsi="Arial" w:eastAsia="黑体"/>
      <w:b/>
      <w:sz w:val="24"/>
    </w:rPr>
  </w:style>
  <w:style w:type="character" w:customStyle="1" w:styleId="210">
    <w:name w:val="标题 7 Char"/>
    <w:basedOn w:val="201"/>
    <w:link w:val="198"/>
    <w:qFormat/>
    <w:uiPriority w:val="0"/>
    <w:rPr>
      <w:b/>
      <w:sz w:val="24"/>
    </w:rPr>
  </w:style>
  <w:style w:type="character" w:customStyle="1" w:styleId="211">
    <w:name w:val="标题 8 Char"/>
    <w:basedOn w:val="201"/>
    <w:link w:val="199"/>
    <w:qFormat/>
    <w:uiPriority w:val="0"/>
    <w:rPr>
      <w:rFonts w:ascii="Arial" w:hAnsi="Arial" w:eastAsia="黑体"/>
      <w:sz w:val="24"/>
    </w:rPr>
  </w:style>
  <w:style w:type="character" w:customStyle="1" w:styleId="212">
    <w:name w:val="标题 9 Char"/>
    <w:basedOn w:val="201"/>
    <w:link w:val="200"/>
    <w:qFormat/>
    <w:uiPriority w:val="0"/>
    <w:rPr>
      <w:rFonts w:ascii="Arial" w:hAnsi="Arial" w:eastAsia="黑体"/>
      <w:sz w:val="21"/>
    </w:rPr>
  </w:style>
  <w:style w:type="paragraph" w:customStyle="1" w:styleId="213">
    <w:name w:val="目录 71"/>
    <w:basedOn w:val="1"/>
    <w:next w:val="1"/>
    <w:qFormat/>
    <w:uiPriority w:val="0"/>
    <w:pPr>
      <w:ind w:left="2520"/>
    </w:pPr>
  </w:style>
  <w:style w:type="paragraph" w:customStyle="1" w:styleId="214">
    <w:name w:val="题注1"/>
    <w:basedOn w:val="1"/>
    <w:next w:val="1"/>
    <w:qFormat/>
    <w:uiPriority w:val="0"/>
    <w:pPr>
      <w:spacing w:line="480" w:lineRule="auto"/>
    </w:pPr>
    <w:rPr>
      <w:rFonts w:ascii="华文中宋" w:hAnsi="华文中宋" w:eastAsia="华文中宋"/>
      <w:sz w:val="36"/>
      <w:szCs w:val="20"/>
    </w:rPr>
  </w:style>
  <w:style w:type="paragraph" w:customStyle="1" w:styleId="215">
    <w:name w:val="索引 51"/>
    <w:basedOn w:val="1"/>
    <w:next w:val="1"/>
    <w:unhideWhenUsed/>
    <w:qFormat/>
    <w:uiPriority w:val="99"/>
    <w:pPr>
      <w:ind w:left="800"/>
    </w:pPr>
  </w:style>
  <w:style w:type="paragraph" w:customStyle="1" w:styleId="216">
    <w:name w:val="文档结构图1"/>
    <w:basedOn w:val="1"/>
    <w:next w:val="1"/>
    <w:link w:val="217"/>
    <w:qFormat/>
    <w:uiPriority w:val="0"/>
    <w:pPr>
      <w:shd w:val="clear" w:color="auto" w:fill="000080"/>
    </w:pPr>
  </w:style>
  <w:style w:type="character" w:customStyle="1" w:styleId="217">
    <w:name w:val="文档结构图 Char"/>
    <w:basedOn w:val="201"/>
    <w:link w:val="216"/>
    <w:qFormat/>
    <w:uiPriority w:val="0"/>
    <w:rPr>
      <w:sz w:val="21"/>
      <w:szCs w:val="24"/>
      <w:shd w:val="clear" w:color="auto" w:fill="000080"/>
    </w:rPr>
  </w:style>
  <w:style w:type="paragraph" w:customStyle="1" w:styleId="218">
    <w:name w:val="批注文字1"/>
    <w:basedOn w:val="1"/>
    <w:link w:val="219"/>
    <w:qFormat/>
    <w:uiPriority w:val="99"/>
    <w:pPr>
      <w:jc w:val="left"/>
    </w:pPr>
  </w:style>
  <w:style w:type="character" w:customStyle="1" w:styleId="219">
    <w:name w:val="批注文字 Char1"/>
    <w:link w:val="218"/>
    <w:qFormat/>
    <w:uiPriority w:val="99"/>
    <w:rPr>
      <w:sz w:val="21"/>
      <w:szCs w:val="24"/>
    </w:rPr>
  </w:style>
  <w:style w:type="paragraph" w:customStyle="1" w:styleId="220">
    <w:name w:val="正文文本 31"/>
    <w:basedOn w:val="1"/>
    <w:link w:val="221"/>
    <w:qFormat/>
    <w:uiPriority w:val="0"/>
    <w:pPr>
      <w:spacing w:after="120"/>
    </w:pPr>
    <w:rPr>
      <w:sz w:val="16"/>
      <w:szCs w:val="16"/>
    </w:rPr>
  </w:style>
  <w:style w:type="character" w:customStyle="1" w:styleId="221">
    <w:name w:val="正文文本 3 Char"/>
    <w:basedOn w:val="201"/>
    <w:link w:val="220"/>
    <w:qFormat/>
    <w:uiPriority w:val="0"/>
    <w:rPr>
      <w:sz w:val="16"/>
      <w:szCs w:val="16"/>
    </w:rPr>
  </w:style>
  <w:style w:type="paragraph" w:customStyle="1" w:styleId="222">
    <w:name w:val="正文文本1"/>
    <w:basedOn w:val="1"/>
    <w:next w:val="1"/>
    <w:link w:val="223"/>
    <w:qFormat/>
    <w:uiPriority w:val="0"/>
    <w:pPr>
      <w:tabs>
        <w:tab w:val="left" w:pos="567"/>
      </w:tabs>
      <w:spacing w:before="120" w:line="22" w:lineRule="atLeast"/>
    </w:pPr>
    <w:rPr>
      <w:rFonts w:ascii="宋体" w:hAnsi="宋体"/>
      <w:sz w:val="24"/>
    </w:rPr>
  </w:style>
  <w:style w:type="character" w:customStyle="1" w:styleId="223">
    <w:name w:val="正文文本 Char"/>
    <w:basedOn w:val="201"/>
    <w:link w:val="222"/>
    <w:qFormat/>
    <w:uiPriority w:val="0"/>
    <w:rPr>
      <w:rFonts w:ascii="宋体" w:hAnsi="宋体"/>
      <w:sz w:val="24"/>
      <w:szCs w:val="24"/>
    </w:rPr>
  </w:style>
  <w:style w:type="paragraph" w:customStyle="1" w:styleId="224">
    <w:name w:val="正文文本缩进11"/>
    <w:basedOn w:val="1"/>
    <w:next w:val="1"/>
    <w:link w:val="225"/>
    <w:qFormat/>
    <w:uiPriority w:val="0"/>
    <w:pPr>
      <w:spacing w:line="360" w:lineRule="auto"/>
      <w:ind w:firstLine="570"/>
    </w:pPr>
    <w:rPr>
      <w:sz w:val="24"/>
    </w:rPr>
  </w:style>
  <w:style w:type="character" w:customStyle="1" w:styleId="225">
    <w:name w:val="正文文本缩进 Char2"/>
    <w:link w:val="224"/>
    <w:qFormat/>
    <w:uiPriority w:val="0"/>
    <w:rPr>
      <w:rFonts w:eastAsia="宋体"/>
      <w:sz w:val="24"/>
      <w:szCs w:val="24"/>
      <w:lang w:val="en-US" w:eastAsia="zh-CN" w:bidi="ar-SA"/>
    </w:rPr>
  </w:style>
  <w:style w:type="paragraph" w:customStyle="1" w:styleId="226">
    <w:name w:val="列表 21"/>
    <w:basedOn w:val="1"/>
    <w:qFormat/>
    <w:uiPriority w:val="0"/>
    <w:pPr>
      <w:ind w:left="100" w:hanging="200"/>
    </w:pPr>
  </w:style>
  <w:style w:type="paragraph" w:customStyle="1" w:styleId="227">
    <w:name w:val="文本块1"/>
    <w:basedOn w:val="1"/>
    <w:qFormat/>
    <w:uiPriority w:val="0"/>
    <w:pPr>
      <w:widowControl/>
      <w:ind w:left="480" w:right="-341" w:firstLine="513"/>
    </w:pPr>
    <w:rPr>
      <w:sz w:val="24"/>
      <w:szCs w:val="20"/>
    </w:rPr>
  </w:style>
  <w:style w:type="paragraph" w:customStyle="1" w:styleId="228">
    <w:name w:val="目录 51"/>
    <w:basedOn w:val="1"/>
    <w:next w:val="1"/>
    <w:qFormat/>
    <w:uiPriority w:val="0"/>
    <w:pPr>
      <w:ind w:left="1680"/>
    </w:pPr>
  </w:style>
  <w:style w:type="paragraph" w:customStyle="1" w:styleId="229">
    <w:name w:val="目录 31"/>
    <w:basedOn w:val="1"/>
    <w:next w:val="1"/>
    <w:qFormat/>
    <w:uiPriority w:val="39"/>
    <w:pPr>
      <w:ind w:left="840"/>
    </w:pPr>
  </w:style>
  <w:style w:type="paragraph" w:customStyle="1" w:styleId="230">
    <w:name w:val="纯文本11"/>
    <w:basedOn w:val="1"/>
    <w:next w:val="193"/>
    <w:link w:val="231"/>
    <w:qFormat/>
    <w:uiPriority w:val="0"/>
    <w:rPr>
      <w:rFonts w:hint="eastAsia" w:ascii="宋体" w:hAnsi="Courier New"/>
      <w:szCs w:val="20"/>
    </w:rPr>
  </w:style>
  <w:style w:type="character" w:customStyle="1" w:styleId="231">
    <w:name w:val="纯文本 Char"/>
    <w:basedOn w:val="201"/>
    <w:link w:val="230"/>
    <w:qFormat/>
    <w:uiPriority w:val="0"/>
    <w:rPr>
      <w:rFonts w:hint="eastAsia" w:ascii="宋体" w:hAnsi="Courier New" w:eastAsia="宋体" w:cs="宋体"/>
      <w:sz w:val="21"/>
    </w:rPr>
  </w:style>
  <w:style w:type="paragraph" w:customStyle="1" w:styleId="232">
    <w:name w:val="目录 81"/>
    <w:basedOn w:val="1"/>
    <w:next w:val="1"/>
    <w:qFormat/>
    <w:uiPriority w:val="0"/>
    <w:pPr>
      <w:ind w:left="2940"/>
    </w:pPr>
  </w:style>
  <w:style w:type="paragraph" w:customStyle="1" w:styleId="233">
    <w:name w:val="日期1"/>
    <w:basedOn w:val="1"/>
    <w:next w:val="1"/>
    <w:link w:val="234"/>
    <w:qFormat/>
    <w:uiPriority w:val="0"/>
    <w:pPr>
      <w:ind w:left="100"/>
    </w:pPr>
    <w:rPr>
      <w:rFonts w:ascii="仿宋_GB2312" w:hAnsi="宋体" w:eastAsia="仿宋_GB2312"/>
      <w:color w:val="000000"/>
      <w:sz w:val="24"/>
    </w:rPr>
  </w:style>
  <w:style w:type="character" w:customStyle="1" w:styleId="234">
    <w:name w:val="日期 Char"/>
    <w:basedOn w:val="201"/>
    <w:link w:val="233"/>
    <w:qFormat/>
    <w:uiPriority w:val="0"/>
    <w:rPr>
      <w:rFonts w:ascii="仿宋_GB2312" w:hAnsi="宋体" w:eastAsia="仿宋_GB2312"/>
      <w:color w:val="000000"/>
      <w:sz w:val="24"/>
      <w:szCs w:val="24"/>
    </w:rPr>
  </w:style>
  <w:style w:type="paragraph" w:customStyle="1" w:styleId="235">
    <w:name w:val="正文文本缩进 21"/>
    <w:basedOn w:val="1"/>
    <w:link w:val="236"/>
    <w:qFormat/>
    <w:uiPriority w:val="0"/>
    <w:pPr>
      <w:ind w:firstLine="480"/>
    </w:pPr>
    <w:rPr>
      <w:rFonts w:ascii="仿宋_GB2312" w:eastAsia="仿宋_GB2312"/>
      <w:sz w:val="24"/>
    </w:rPr>
  </w:style>
  <w:style w:type="character" w:customStyle="1" w:styleId="236">
    <w:name w:val="正文文本缩进 2 Char"/>
    <w:basedOn w:val="201"/>
    <w:link w:val="235"/>
    <w:qFormat/>
    <w:uiPriority w:val="0"/>
    <w:rPr>
      <w:rFonts w:ascii="仿宋_GB2312" w:eastAsia="仿宋_GB2312"/>
      <w:sz w:val="24"/>
      <w:szCs w:val="24"/>
    </w:rPr>
  </w:style>
  <w:style w:type="paragraph" w:customStyle="1" w:styleId="237">
    <w:name w:val="批注框文本1"/>
    <w:basedOn w:val="1"/>
    <w:link w:val="238"/>
    <w:qFormat/>
    <w:uiPriority w:val="0"/>
    <w:rPr>
      <w:sz w:val="18"/>
      <w:szCs w:val="18"/>
    </w:rPr>
  </w:style>
  <w:style w:type="character" w:customStyle="1" w:styleId="238">
    <w:name w:val="批注框文本 Char"/>
    <w:basedOn w:val="201"/>
    <w:link w:val="237"/>
    <w:qFormat/>
    <w:uiPriority w:val="0"/>
    <w:rPr>
      <w:sz w:val="18"/>
      <w:szCs w:val="18"/>
    </w:rPr>
  </w:style>
  <w:style w:type="paragraph" w:customStyle="1" w:styleId="239">
    <w:name w:val="页脚1"/>
    <w:basedOn w:val="1"/>
    <w:link w:val="240"/>
    <w:qFormat/>
    <w:uiPriority w:val="99"/>
    <w:pPr>
      <w:tabs>
        <w:tab w:val="center" w:pos="4153"/>
        <w:tab w:val="right" w:pos="8306"/>
      </w:tabs>
      <w:jc w:val="left"/>
    </w:pPr>
    <w:rPr>
      <w:rFonts w:ascii="宋体"/>
      <w:sz w:val="18"/>
      <w:szCs w:val="20"/>
    </w:rPr>
  </w:style>
  <w:style w:type="character" w:customStyle="1" w:styleId="240">
    <w:name w:val="页脚 Char1"/>
    <w:link w:val="239"/>
    <w:qFormat/>
    <w:uiPriority w:val="99"/>
    <w:rPr>
      <w:rFonts w:ascii="宋体" w:eastAsia="宋体"/>
      <w:sz w:val="18"/>
      <w:lang w:val="en-US" w:eastAsia="zh-CN" w:bidi="ar-SA"/>
    </w:rPr>
  </w:style>
  <w:style w:type="paragraph" w:customStyle="1" w:styleId="241">
    <w:name w:val="页眉1"/>
    <w:basedOn w:val="1"/>
    <w:link w:val="242"/>
    <w:qFormat/>
    <w:uiPriority w:val="0"/>
    <w:pPr>
      <w:pBdr>
        <w:bottom w:val="single" w:color="000000" w:sz="6" w:space="1"/>
      </w:pBdr>
      <w:tabs>
        <w:tab w:val="center" w:pos="4153"/>
        <w:tab w:val="right" w:pos="8306"/>
      </w:tabs>
      <w:jc w:val="center"/>
    </w:pPr>
    <w:rPr>
      <w:sz w:val="18"/>
      <w:szCs w:val="18"/>
    </w:rPr>
  </w:style>
  <w:style w:type="character" w:customStyle="1" w:styleId="242">
    <w:name w:val="页眉 Char1"/>
    <w:link w:val="241"/>
    <w:qFormat/>
    <w:uiPriority w:val="0"/>
    <w:rPr>
      <w:rFonts w:eastAsia="宋体"/>
      <w:sz w:val="18"/>
      <w:szCs w:val="18"/>
      <w:lang w:val="en-US" w:eastAsia="zh-CN" w:bidi="ar-SA"/>
    </w:rPr>
  </w:style>
  <w:style w:type="paragraph" w:customStyle="1" w:styleId="243">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4">
    <w:name w:val="目录 41"/>
    <w:basedOn w:val="1"/>
    <w:next w:val="1"/>
    <w:qFormat/>
    <w:uiPriority w:val="0"/>
    <w:pPr>
      <w:ind w:left="1260"/>
    </w:pPr>
  </w:style>
  <w:style w:type="paragraph" w:customStyle="1" w:styleId="245">
    <w:name w:val="脚注文本1"/>
    <w:basedOn w:val="1"/>
    <w:next w:val="215"/>
    <w:qFormat/>
    <w:uiPriority w:val="0"/>
    <w:pPr>
      <w:spacing w:before="120" w:line="360" w:lineRule="auto"/>
      <w:ind w:firstLine="425"/>
      <w:jc w:val="left"/>
    </w:pPr>
    <w:rPr>
      <w:sz w:val="18"/>
      <w:szCs w:val="20"/>
    </w:rPr>
  </w:style>
  <w:style w:type="paragraph" w:customStyle="1" w:styleId="246">
    <w:name w:val="目录 61"/>
    <w:basedOn w:val="1"/>
    <w:next w:val="1"/>
    <w:qFormat/>
    <w:uiPriority w:val="0"/>
    <w:pPr>
      <w:ind w:left="2100"/>
    </w:pPr>
  </w:style>
  <w:style w:type="paragraph" w:customStyle="1" w:styleId="247">
    <w:name w:val="正文文本缩进 31"/>
    <w:basedOn w:val="1"/>
    <w:link w:val="248"/>
    <w:qFormat/>
    <w:uiPriority w:val="0"/>
    <w:pPr>
      <w:spacing w:before="120" w:line="22" w:lineRule="atLeast"/>
      <w:ind w:left="720" w:firstLine="480"/>
      <w:jc w:val="left"/>
    </w:pPr>
    <w:rPr>
      <w:rFonts w:ascii="宋体"/>
      <w:sz w:val="24"/>
      <w:szCs w:val="20"/>
    </w:rPr>
  </w:style>
  <w:style w:type="character" w:customStyle="1" w:styleId="248">
    <w:name w:val="正文文本缩进 3 Char"/>
    <w:basedOn w:val="201"/>
    <w:link w:val="247"/>
    <w:qFormat/>
    <w:uiPriority w:val="0"/>
    <w:rPr>
      <w:rFonts w:ascii="宋体"/>
      <w:sz w:val="24"/>
    </w:rPr>
  </w:style>
  <w:style w:type="paragraph" w:customStyle="1" w:styleId="249">
    <w:name w:val="目录 21"/>
    <w:basedOn w:val="1"/>
    <w:next w:val="1"/>
    <w:qFormat/>
    <w:uiPriority w:val="39"/>
    <w:pPr>
      <w:tabs>
        <w:tab w:val="right" w:leader="dot" w:pos="8937"/>
      </w:tabs>
      <w:spacing w:line="312" w:lineRule="auto"/>
      <w:ind w:left="420"/>
    </w:pPr>
  </w:style>
  <w:style w:type="paragraph" w:customStyle="1" w:styleId="250">
    <w:name w:val="目录 91"/>
    <w:basedOn w:val="1"/>
    <w:next w:val="1"/>
    <w:qFormat/>
    <w:uiPriority w:val="0"/>
    <w:pPr>
      <w:ind w:left="3360"/>
    </w:pPr>
  </w:style>
  <w:style w:type="paragraph" w:customStyle="1" w:styleId="251">
    <w:name w:val="HTML 预设格式1"/>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2">
    <w:name w:val="HTML 预设格式 Char"/>
    <w:basedOn w:val="201"/>
    <w:link w:val="251"/>
    <w:qFormat/>
    <w:uiPriority w:val="0"/>
    <w:rPr>
      <w:rFonts w:ascii="宋体" w:hAnsi="宋体" w:cs="宋体"/>
      <w:sz w:val="24"/>
      <w:szCs w:val="24"/>
    </w:rPr>
  </w:style>
  <w:style w:type="paragraph" w:customStyle="1" w:styleId="25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4">
    <w:name w:val="索引 11"/>
    <w:basedOn w:val="1"/>
    <w:next w:val="1"/>
    <w:qFormat/>
    <w:uiPriority w:val="0"/>
    <w:rPr>
      <w:szCs w:val="20"/>
    </w:rPr>
  </w:style>
  <w:style w:type="paragraph" w:customStyle="1" w:styleId="255">
    <w:name w:val="标题1"/>
    <w:basedOn w:val="1"/>
    <w:link w:val="256"/>
    <w:qFormat/>
    <w:uiPriority w:val="0"/>
    <w:pPr>
      <w:jc w:val="center"/>
      <w:outlineLvl w:val="0"/>
    </w:pPr>
    <w:rPr>
      <w:b/>
      <w:sz w:val="32"/>
      <w:szCs w:val="20"/>
    </w:rPr>
  </w:style>
  <w:style w:type="character" w:customStyle="1" w:styleId="256">
    <w:name w:val="标题 Char1"/>
    <w:link w:val="255"/>
    <w:qFormat/>
    <w:uiPriority w:val="0"/>
    <w:rPr>
      <w:b/>
      <w:sz w:val="32"/>
    </w:rPr>
  </w:style>
  <w:style w:type="paragraph" w:customStyle="1" w:styleId="257">
    <w:name w:val="批注主题1"/>
    <w:basedOn w:val="218"/>
    <w:next w:val="218"/>
    <w:link w:val="258"/>
    <w:qFormat/>
    <w:uiPriority w:val="0"/>
    <w:rPr>
      <w:b/>
      <w:bCs/>
    </w:rPr>
  </w:style>
  <w:style w:type="character" w:customStyle="1" w:styleId="258">
    <w:name w:val="批注主题 Char"/>
    <w:basedOn w:val="259"/>
    <w:link w:val="257"/>
    <w:qFormat/>
    <w:uiPriority w:val="0"/>
    <w:rPr>
      <w:rFonts w:ascii="Times New Roman" w:hAnsi="Times New Roman" w:eastAsia="宋体" w:cs="Times New Roman"/>
      <w:b/>
      <w:bCs/>
      <w:sz w:val="21"/>
      <w:szCs w:val="24"/>
      <w:lang w:val="en-US" w:eastAsia="zh-CN" w:bidi="ar-SA"/>
    </w:rPr>
  </w:style>
  <w:style w:type="character" w:customStyle="1" w:styleId="259">
    <w:name w:val="批注文字 字符"/>
    <w:link w:val="1"/>
    <w:qFormat/>
    <w:uiPriority w:val="99"/>
    <w:rPr>
      <w:rFonts w:ascii="Times New Roman" w:hAnsi="Times New Roman" w:eastAsia="宋体" w:cs="Times New Roman"/>
      <w:sz w:val="24"/>
      <w:lang w:val="en-US" w:eastAsia="zh-CN" w:bidi="ar-SA"/>
    </w:rPr>
  </w:style>
  <w:style w:type="paragraph" w:customStyle="1" w:styleId="260">
    <w:name w:val="正文首行缩进 21"/>
    <w:basedOn w:val="224"/>
    <w:next w:val="1"/>
    <w:link w:val="261"/>
    <w:qFormat/>
    <w:uiPriority w:val="0"/>
    <w:pPr>
      <w:spacing w:after="120" w:line="480" w:lineRule="exact"/>
      <w:ind w:left="420" w:firstLine="420"/>
    </w:pPr>
    <w:rPr>
      <w:szCs w:val="20"/>
    </w:rPr>
  </w:style>
  <w:style w:type="character" w:customStyle="1" w:styleId="261">
    <w:name w:val="正文首行缩进 2 Char"/>
    <w:basedOn w:val="225"/>
    <w:link w:val="260"/>
    <w:qFormat/>
    <w:uiPriority w:val="0"/>
    <w:rPr>
      <w:rFonts w:eastAsia="宋体"/>
      <w:sz w:val="24"/>
      <w:szCs w:val="24"/>
      <w:lang w:val="en-US" w:eastAsia="zh-CN" w:bidi="ar-SA"/>
    </w:rPr>
  </w:style>
  <w:style w:type="table" w:customStyle="1" w:styleId="262">
    <w:name w:val="网格型1"/>
    <w:basedOn w:val="202"/>
    <w:qFormat/>
    <w:uiPriority w:val="39"/>
  </w:style>
  <w:style w:type="table" w:customStyle="1" w:styleId="263">
    <w:name w:val="中等深浅网格 1 - 强调文字颜色 21"/>
    <w:basedOn w:val="202"/>
    <w:qFormat/>
    <w:uiPriority w:val="0"/>
    <w:rPr>
      <w:sz w:val="21"/>
      <w:szCs w:val="24"/>
    </w:rPr>
  </w:style>
  <w:style w:type="character" w:customStyle="1" w:styleId="264">
    <w:name w:val="要点1"/>
    <w:link w:val="1"/>
    <w:qFormat/>
    <w:uiPriority w:val="0"/>
    <w:rPr>
      <w:b/>
      <w:bCs/>
    </w:rPr>
  </w:style>
  <w:style w:type="character" w:customStyle="1" w:styleId="265">
    <w:name w:val="页码1"/>
    <w:basedOn w:val="201"/>
    <w:link w:val="1"/>
    <w:qFormat/>
    <w:uiPriority w:val="0"/>
  </w:style>
  <w:style w:type="character" w:customStyle="1" w:styleId="266">
    <w:name w:val="已访问的超链接1"/>
    <w:link w:val="1"/>
    <w:qFormat/>
    <w:uiPriority w:val="0"/>
    <w:rPr>
      <w:color w:val="800080"/>
      <w:u w:val="single"/>
    </w:rPr>
  </w:style>
  <w:style w:type="character" w:customStyle="1" w:styleId="267">
    <w:name w:val="强调1"/>
    <w:link w:val="1"/>
    <w:qFormat/>
    <w:uiPriority w:val="0"/>
    <w:rPr>
      <w:color w:val="CC0033"/>
    </w:rPr>
  </w:style>
  <w:style w:type="character" w:customStyle="1" w:styleId="268">
    <w:name w:val="超链接1"/>
    <w:link w:val="1"/>
    <w:qFormat/>
    <w:uiPriority w:val="99"/>
    <w:rPr>
      <w:color w:val="0000FF"/>
      <w:u w:val="single"/>
    </w:rPr>
  </w:style>
  <w:style w:type="character" w:customStyle="1" w:styleId="269">
    <w:name w:val="批注引用1"/>
    <w:link w:val="1"/>
    <w:qFormat/>
    <w:uiPriority w:val="99"/>
    <w:rPr>
      <w:sz w:val="21"/>
      <w:szCs w:val="21"/>
    </w:rPr>
  </w:style>
  <w:style w:type="character" w:customStyle="1" w:styleId="270">
    <w:name w:val="HTML 引文1"/>
    <w:link w:val="1"/>
    <w:qFormat/>
    <w:uiPriority w:val="0"/>
    <w:rPr>
      <w:i/>
      <w:iCs/>
    </w:rPr>
  </w:style>
  <w:style w:type="paragraph" w:customStyle="1" w:styleId="271">
    <w:name w:val="首行缩进"/>
    <w:basedOn w:val="1"/>
    <w:qFormat/>
    <w:uiPriority w:val="0"/>
    <w:pPr>
      <w:ind w:firstLine="720"/>
    </w:pPr>
    <w:rPr>
      <w:sz w:val="24"/>
    </w:rPr>
  </w:style>
  <w:style w:type="paragraph" w:customStyle="1" w:styleId="272">
    <w:name w:val="正文_2_0"/>
    <w:qFormat/>
    <w:uiPriority w:val="0"/>
    <w:pPr>
      <w:widowControl w:val="0"/>
      <w:spacing w:line="440" w:lineRule="exact"/>
    </w:pPr>
    <w:rPr>
      <w:rFonts w:hint="default" w:ascii="Calibri" w:hAnsi="Calibri" w:eastAsia="宋体" w:cs="Times New Roman"/>
      <w:lang w:val="en-US" w:eastAsia="zh-CN" w:bidi="ar-SA"/>
    </w:rPr>
  </w:style>
  <w:style w:type="paragraph" w:customStyle="1" w:styleId="273">
    <w:name w:val="Normal_0"/>
    <w:next w:val="222"/>
    <w:qFormat/>
    <w:uiPriority w:val="0"/>
    <w:pPr>
      <w:widowControl w:val="0"/>
      <w:jc w:val="both"/>
    </w:pPr>
    <w:rPr>
      <w:rFonts w:hint="default" w:ascii="Calibri" w:hAnsi="Calibri" w:eastAsia="Times New Roman" w:cs="Times New Roman"/>
      <w:lang w:val="en-US" w:eastAsia="zh-CN" w:bidi="ar-SA"/>
    </w:rPr>
  </w:style>
  <w:style w:type="character" w:customStyle="1" w:styleId="274">
    <w:name w:val="street-address"/>
    <w:basedOn w:val="201"/>
    <w:link w:val="1"/>
    <w:qFormat/>
    <w:uiPriority w:val="0"/>
  </w:style>
  <w:style w:type="character" w:customStyle="1" w:styleId="275">
    <w:name w:val="注释 Char"/>
    <w:link w:val="276"/>
    <w:qFormat/>
    <w:uiPriority w:val="0"/>
    <w:rPr>
      <w:rFonts w:ascii="宋体" w:hAnsi="宋体"/>
      <w:sz w:val="21"/>
      <w:szCs w:val="21"/>
    </w:rPr>
  </w:style>
  <w:style w:type="paragraph" w:customStyle="1" w:styleId="276">
    <w:name w:val="注释"/>
    <w:basedOn w:val="1"/>
    <w:link w:val="275"/>
    <w:qFormat/>
    <w:uiPriority w:val="0"/>
    <w:pPr>
      <w:ind w:left="420" w:hanging="420"/>
      <w:jc w:val="left"/>
    </w:pPr>
    <w:rPr>
      <w:rFonts w:ascii="宋体" w:hAnsi="宋体"/>
      <w:szCs w:val="21"/>
    </w:rPr>
  </w:style>
  <w:style w:type="character" w:customStyle="1" w:styleId="277">
    <w:name w:val="locality"/>
    <w:basedOn w:val="201"/>
    <w:link w:val="1"/>
    <w:qFormat/>
    <w:uiPriority w:val="0"/>
  </w:style>
  <w:style w:type="character" w:customStyle="1" w:styleId="278">
    <w:name w:val="标题 Char"/>
    <w:link w:val="1"/>
    <w:qFormat/>
    <w:uiPriority w:val="0"/>
    <w:rPr>
      <w:b/>
      <w:sz w:val="32"/>
    </w:rPr>
  </w:style>
  <w:style w:type="character" w:customStyle="1" w:styleId="279">
    <w:name w:val="标题 2 Char"/>
    <w:link w:val="1"/>
    <w:qFormat/>
    <w:uiPriority w:val="0"/>
    <w:rPr>
      <w:rFonts w:ascii="Arial" w:hAnsi="Arial" w:eastAsia="黑体"/>
      <w:b/>
      <w:sz w:val="30"/>
      <w:lang w:val="en-US" w:eastAsia="zh-CN" w:bidi="ar-SA"/>
    </w:rPr>
  </w:style>
  <w:style w:type="character" w:customStyle="1" w:styleId="280">
    <w:name w:val="纯文本 Char1"/>
    <w:link w:val="1"/>
    <w:qFormat/>
    <w:uiPriority w:val="0"/>
    <w:rPr>
      <w:rFonts w:ascii="宋体" w:hAnsi="Courier New" w:eastAsia="宋体"/>
      <w:sz w:val="21"/>
      <w:lang w:val="en-US" w:eastAsia="zh-CN" w:bidi="ar-SA"/>
    </w:rPr>
  </w:style>
  <w:style w:type="character" w:customStyle="1" w:styleId="281">
    <w:name w:val="Char Char11"/>
    <w:link w:val="1"/>
    <w:qFormat/>
    <w:uiPriority w:val="0"/>
    <w:rPr>
      <w:rFonts w:ascii="宋体" w:eastAsia="宋体"/>
      <w:b/>
      <w:sz w:val="24"/>
      <w:u w:val="single"/>
      <w:lang w:val="en-US" w:eastAsia="zh-CN" w:bidi="ar-SA"/>
    </w:rPr>
  </w:style>
  <w:style w:type="character" w:customStyle="1" w:styleId="282">
    <w:name w:val="页脚 Char"/>
    <w:link w:val="1"/>
    <w:qFormat/>
    <w:uiPriority w:val="0"/>
    <w:rPr>
      <w:rFonts w:ascii="宋体" w:eastAsia="宋体"/>
      <w:sz w:val="18"/>
      <w:lang w:val="en-US" w:eastAsia="zh-CN" w:bidi="ar-SA"/>
    </w:rPr>
  </w:style>
  <w:style w:type="character" w:customStyle="1" w:styleId="283">
    <w:name w:val="列出段落 Char"/>
    <w:link w:val="1"/>
    <w:qFormat/>
    <w:uiPriority w:val="0"/>
    <w:rPr>
      <w:rFonts w:ascii="Calibri" w:hAnsi="Calibri" w:eastAsia="宋体"/>
      <w:sz w:val="21"/>
      <w:szCs w:val="22"/>
      <w:lang w:val="en-US" w:eastAsia="zh-CN" w:bidi="ar-SA"/>
    </w:rPr>
  </w:style>
  <w:style w:type="character" w:customStyle="1" w:styleId="284">
    <w:name w:val="纯文本 字符1"/>
    <w:link w:val="1"/>
    <w:qFormat/>
    <w:uiPriority w:val="0"/>
    <w:rPr>
      <w:rFonts w:ascii="宋体" w:hAnsi="Courier New"/>
    </w:rPr>
  </w:style>
  <w:style w:type="character" w:customStyle="1" w:styleId="285">
    <w:name w:val="chanpin1"/>
    <w:link w:val="1"/>
    <w:qFormat/>
    <w:uiPriority w:val="0"/>
    <w:rPr>
      <w:rFonts w:ascii="ˎ̥" w:hAnsi="ˎ̥"/>
      <w:color w:val="000000"/>
      <w:sz w:val="20"/>
      <w:szCs w:val="20"/>
      <w:u w:val="none"/>
    </w:rPr>
  </w:style>
  <w:style w:type="character" w:customStyle="1" w:styleId="286">
    <w:name w:val="apple-style-span"/>
    <w:link w:val="1"/>
    <w:qFormat/>
    <w:uiPriority w:val="0"/>
    <w:rPr>
      <w:rFonts w:cs="Times New Roman"/>
    </w:rPr>
  </w:style>
  <w:style w:type="character" w:customStyle="1" w:styleId="287">
    <w:name w:val="c21"/>
    <w:link w:val="1"/>
    <w:qFormat/>
    <w:uiPriority w:val="0"/>
    <w:rPr>
      <w:rFonts w:ascii="ˎ̥" w:hAnsi="ˎ̥"/>
      <w:color w:val="000000"/>
      <w:sz w:val="20"/>
      <w:szCs w:val="20"/>
      <w:u w:val="none"/>
    </w:rPr>
  </w:style>
  <w:style w:type="character" w:customStyle="1" w:styleId="288">
    <w:name w:val="正文缩进 Char Char"/>
    <w:link w:val="289"/>
    <w:qFormat/>
    <w:uiPriority w:val="0"/>
    <w:rPr>
      <w:rFonts w:ascii="宋体" w:eastAsia="宋体"/>
      <w:color w:val="000000"/>
      <w:sz w:val="28"/>
      <w:lang w:bidi="ar-SA"/>
    </w:rPr>
  </w:style>
  <w:style w:type="paragraph" w:customStyle="1" w:styleId="289">
    <w:name w:val="正文缩进1"/>
    <w:basedOn w:val="1"/>
    <w:link w:val="288"/>
    <w:qFormat/>
    <w:uiPriority w:val="0"/>
    <w:pPr>
      <w:widowControl/>
      <w:spacing w:line="480" w:lineRule="exact"/>
      <w:ind w:firstLine="567"/>
    </w:pPr>
    <w:rPr>
      <w:rFonts w:ascii="宋体"/>
      <w:color w:val="000000"/>
      <w:sz w:val="28"/>
      <w:szCs w:val="20"/>
    </w:rPr>
  </w:style>
  <w:style w:type="character" w:customStyle="1" w:styleId="290">
    <w:name w:val="标题 2 Char Char"/>
    <w:link w:val="1"/>
    <w:qFormat/>
    <w:uiPriority w:val="0"/>
    <w:rPr>
      <w:rFonts w:ascii="Arial" w:hAnsi="Arial" w:eastAsia="黑体"/>
      <w:b/>
      <w:bCs/>
      <w:sz w:val="32"/>
      <w:szCs w:val="32"/>
      <w:lang w:val="en-US" w:eastAsia="zh-CN" w:bidi="ar-SA"/>
    </w:rPr>
  </w:style>
  <w:style w:type="character" w:customStyle="1" w:styleId="291">
    <w:name w:val="段1 Char"/>
    <w:link w:val="1"/>
    <w:qFormat/>
    <w:uiPriority w:val="0"/>
    <w:rPr>
      <w:rFonts w:ascii="宋体" w:eastAsia="宋体"/>
      <w:sz w:val="24"/>
      <w:lang w:val="en-US" w:eastAsia="zh-CN" w:bidi="ar-SA"/>
    </w:rPr>
  </w:style>
  <w:style w:type="character" w:customStyle="1" w:styleId="292">
    <w:name w:val="成文日期 Char"/>
    <w:link w:val="293"/>
    <w:qFormat/>
    <w:uiPriority w:val="0"/>
    <w:rPr>
      <w:rFonts w:ascii="仿宋_GB2312" w:eastAsia="仿宋_GB2312"/>
      <w:sz w:val="32"/>
    </w:rPr>
  </w:style>
  <w:style w:type="paragraph" w:customStyle="1" w:styleId="293">
    <w:name w:val="成文日期"/>
    <w:basedOn w:val="1"/>
    <w:link w:val="292"/>
    <w:qFormat/>
    <w:uiPriority w:val="0"/>
    <w:pPr>
      <w:spacing w:line="570" w:lineRule="exact"/>
      <w:ind w:right="400" w:firstLine="200"/>
      <w:jc w:val="right"/>
    </w:pPr>
    <w:rPr>
      <w:rFonts w:ascii="仿宋_GB2312" w:eastAsia="仿宋_GB2312"/>
      <w:sz w:val="32"/>
      <w:szCs w:val="20"/>
    </w:rPr>
  </w:style>
  <w:style w:type="character" w:customStyle="1" w:styleId="294">
    <w:name w:val="中等深浅网格 1 - 强调文字颜色 2 Char"/>
    <w:link w:val="295"/>
    <w:qFormat/>
    <w:uiPriority w:val="0"/>
    <w:rPr>
      <w:sz w:val="21"/>
      <w:szCs w:val="24"/>
      <w:lang w:val="zh-CN" w:eastAsia="zh-CN" w:bidi="ar-SA"/>
    </w:rPr>
  </w:style>
  <w:style w:type="paragraph" w:customStyle="1" w:styleId="295">
    <w:name w:val="1"/>
    <w:link w:val="294"/>
    <w:qFormat/>
    <w:uiPriority w:val="0"/>
    <w:rPr>
      <w:rFonts w:hint="default" w:ascii="Times New Roman" w:hAnsi="Times New Roman" w:eastAsia="宋体" w:cs="Times New Roman"/>
      <w:sz w:val="21"/>
      <w:szCs w:val="24"/>
      <w:lang w:val="zh-CN" w:eastAsia="zh-CN" w:bidi="ar-SA"/>
    </w:rPr>
  </w:style>
  <w:style w:type="character" w:customStyle="1" w:styleId="296">
    <w:name w:val="标题 3 Char Char"/>
    <w:link w:val="1"/>
    <w:qFormat/>
    <w:uiPriority w:val="0"/>
    <w:rPr>
      <w:rFonts w:eastAsia="宋体"/>
      <w:b/>
      <w:bCs/>
      <w:sz w:val="32"/>
      <w:szCs w:val="32"/>
      <w:lang w:val="en-US" w:eastAsia="zh-CN" w:bidi="ar-SA"/>
    </w:rPr>
  </w:style>
  <w:style w:type="character" w:customStyle="1" w:styleId="297">
    <w:name w:val="txt"/>
    <w:basedOn w:val="201"/>
    <w:link w:val="1"/>
    <w:qFormat/>
    <w:uiPriority w:val="0"/>
  </w:style>
  <w:style w:type="character" w:customStyle="1" w:styleId="298">
    <w:name w:val="纯文本 字符"/>
    <w:link w:val="1"/>
    <w:qFormat/>
    <w:uiPriority w:val="99"/>
    <w:rPr>
      <w:rFonts w:ascii="宋体" w:hAnsi="Courier New" w:eastAsia="宋体" w:cs="Times New Roman"/>
      <w:sz w:val="21"/>
      <w:szCs w:val="21"/>
      <w:lang w:val="en-US" w:eastAsia="zh-CN" w:bidi="ar-SA"/>
    </w:rPr>
  </w:style>
  <w:style w:type="character" w:customStyle="1" w:styleId="299">
    <w:name w:val="正文大标题 Char"/>
    <w:link w:val="300"/>
    <w:qFormat/>
    <w:uiPriority w:val="0"/>
    <w:rPr>
      <w:rFonts w:ascii="宋体" w:hAnsi="宋体"/>
      <w:b/>
      <w:color w:val="000000"/>
      <w:sz w:val="28"/>
      <w:szCs w:val="21"/>
    </w:rPr>
  </w:style>
  <w:style w:type="paragraph" w:customStyle="1" w:styleId="300">
    <w:name w:val="正文大标题"/>
    <w:basedOn w:val="301"/>
    <w:next w:val="193"/>
    <w:link w:val="299"/>
    <w:qFormat/>
    <w:uiPriority w:val="0"/>
    <w:pPr>
      <w:jc w:val="center"/>
    </w:pPr>
    <w:rPr>
      <w:i w:val="0"/>
      <w:color w:val="000000"/>
      <w:sz w:val="28"/>
      <w:szCs w:val="21"/>
    </w:rPr>
  </w:style>
  <w:style w:type="paragraph" w:customStyle="1" w:styleId="301">
    <w:name w:val="正文小标题"/>
    <w:basedOn w:val="1"/>
    <w:next w:val="193"/>
    <w:link w:val="302"/>
    <w:qFormat/>
    <w:uiPriority w:val="0"/>
    <w:pPr>
      <w:spacing w:before="312" w:after="312"/>
      <w:ind w:firstLine="482"/>
      <w:jc w:val="left"/>
    </w:pPr>
    <w:rPr>
      <w:rFonts w:ascii="宋体" w:hAnsi="宋体"/>
      <w:b/>
      <w:i/>
      <w:color w:val="FF0000"/>
      <w:sz w:val="24"/>
      <w:szCs w:val="20"/>
    </w:rPr>
  </w:style>
  <w:style w:type="character" w:customStyle="1" w:styleId="302">
    <w:name w:val="正文小标题 Char"/>
    <w:link w:val="301"/>
    <w:qFormat/>
    <w:uiPriority w:val="0"/>
    <w:rPr>
      <w:rFonts w:ascii="宋体" w:hAnsi="宋体"/>
      <w:b/>
      <w:i/>
      <w:color w:val="FF0000"/>
      <w:sz w:val="24"/>
    </w:rPr>
  </w:style>
  <w:style w:type="character" w:customStyle="1" w:styleId="303">
    <w:name w:val="正文格式 Char"/>
    <w:link w:val="304"/>
    <w:qFormat/>
    <w:uiPriority w:val="0"/>
    <w:rPr>
      <w:rFonts w:ascii="宋体" w:hAnsi="宋体"/>
      <w:sz w:val="24"/>
      <w:szCs w:val="24"/>
      <w:lang w:val="en-GB"/>
    </w:rPr>
  </w:style>
  <w:style w:type="paragraph" w:customStyle="1" w:styleId="304">
    <w:name w:val="正文格式"/>
    <w:basedOn w:val="1"/>
    <w:link w:val="303"/>
    <w:qFormat/>
    <w:uiPriority w:val="0"/>
    <w:pPr>
      <w:spacing w:line="360" w:lineRule="auto"/>
      <w:ind w:firstLine="480"/>
    </w:pPr>
    <w:rPr>
      <w:rFonts w:ascii="宋体" w:hAnsi="宋体"/>
      <w:sz w:val="24"/>
      <w:lang w:val="en-GB"/>
    </w:rPr>
  </w:style>
  <w:style w:type="character" w:customStyle="1" w:styleId="305">
    <w:name w:val="title4"/>
    <w:link w:val="1"/>
    <w:qFormat/>
    <w:uiPriority w:val="0"/>
    <w:rPr>
      <w:b/>
      <w:bCs/>
      <w:color w:val="1D87B3"/>
      <w:sz w:val="15"/>
      <w:szCs w:val="15"/>
    </w:rPr>
  </w:style>
  <w:style w:type="character" w:customStyle="1" w:styleId="306">
    <w:name w:val="列出段落 Char1"/>
    <w:link w:val="307"/>
    <w:qFormat/>
    <w:uiPriority w:val="34"/>
    <w:rPr>
      <w:rFonts w:ascii="Calibri" w:hAnsi="Calibri" w:eastAsia="宋体"/>
      <w:sz w:val="21"/>
      <w:szCs w:val="22"/>
      <w:lang w:val="en-US" w:eastAsia="zh-CN" w:bidi="ar-SA"/>
    </w:rPr>
  </w:style>
  <w:style w:type="paragraph" w:customStyle="1" w:styleId="307">
    <w:name w:val="列出段落"/>
    <w:basedOn w:val="1"/>
    <w:link w:val="306"/>
    <w:qFormat/>
    <w:uiPriority w:val="34"/>
    <w:pPr>
      <w:ind w:firstLine="420"/>
    </w:pPr>
    <w:rPr>
      <w:rFonts w:ascii="Calibri" w:hAnsi="Calibri"/>
      <w:szCs w:val="22"/>
    </w:rPr>
  </w:style>
  <w:style w:type="character" w:customStyle="1" w:styleId="308">
    <w:name w:val="批注文字 Char"/>
    <w:link w:val="1"/>
    <w:qFormat/>
    <w:uiPriority w:val="99"/>
    <w:rPr>
      <w:sz w:val="21"/>
      <w:szCs w:val="24"/>
    </w:rPr>
  </w:style>
  <w:style w:type="character" w:customStyle="1" w:styleId="309">
    <w:name w:val="chanpin拷贝"/>
    <w:basedOn w:val="201"/>
    <w:link w:val="1"/>
    <w:qFormat/>
    <w:uiPriority w:val="0"/>
  </w:style>
  <w:style w:type="character" w:customStyle="1" w:styleId="310">
    <w:name w:val="普通文字1 Char1"/>
    <w:link w:val="1"/>
    <w:qFormat/>
    <w:uiPriority w:val="0"/>
    <w:rPr>
      <w:rFonts w:ascii="宋体" w:hAnsi="Courier New" w:eastAsia="宋体"/>
      <w:sz w:val="21"/>
      <w:lang w:val="en-US" w:eastAsia="zh-CN" w:bidi="ar-SA"/>
    </w:rPr>
  </w:style>
  <w:style w:type="character" w:customStyle="1" w:styleId="311">
    <w:name w:val="正文表格 Char"/>
    <w:link w:val="312"/>
    <w:qFormat/>
    <w:uiPriority w:val="0"/>
    <w:rPr>
      <w:rFonts w:ascii="宋体" w:hAnsi="宋体"/>
      <w:color w:val="000000"/>
      <w:sz w:val="21"/>
      <w:szCs w:val="21"/>
    </w:rPr>
  </w:style>
  <w:style w:type="paragraph" w:customStyle="1" w:styleId="312">
    <w:name w:val="正文表格"/>
    <w:basedOn w:val="1"/>
    <w:link w:val="311"/>
    <w:qFormat/>
    <w:uiPriority w:val="0"/>
    <w:pPr>
      <w:jc w:val="left"/>
    </w:pPr>
    <w:rPr>
      <w:rFonts w:ascii="宋体" w:hAnsi="宋体"/>
      <w:color w:val="000000"/>
      <w:szCs w:val="21"/>
    </w:rPr>
  </w:style>
  <w:style w:type="character" w:customStyle="1" w:styleId="313">
    <w:name w:val="正文缩进 Char"/>
    <w:link w:val="1"/>
    <w:qFormat/>
    <w:uiPriority w:val="0"/>
    <w:rPr>
      <w:rFonts w:ascii="宋体" w:eastAsia="宋体"/>
      <w:sz w:val="24"/>
      <w:szCs w:val="24"/>
      <w:lang w:val="en-US" w:eastAsia="zh-CN" w:bidi="ar-SA"/>
    </w:rPr>
  </w:style>
  <w:style w:type="character" w:customStyle="1" w:styleId="314">
    <w:name w:val="页眉 Char"/>
    <w:link w:val="1"/>
    <w:qFormat/>
    <w:uiPriority w:val="0"/>
    <w:rPr>
      <w:rFonts w:eastAsia="宋体"/>
      <w:sz w:val="18"/>
      <w:szCs w:val="18"/>
      <w:lang w:val="en-US" w:eastAsia="zh-CN" w:bidi="ar-SA"/>
    </w:rPr>
  </w:style>
  <w:style w:type="character" w:customStyle="1" w:styleId="315">
    <w:name w:val="black1"/>
    <w:link w:val="1"/>
    <w:qFormat/>
    <w:uiPriority w:val="0"/>
    <w:rPr>
      <w:color w:val="000000"/>
    </w:rPr>
  </w:style>
  <w:style w:type="character" w:customStyle="1" w:styleId="316">
    <w:name w:val="正文文本缩进 Char"/>
    <w:link w:val="1"/>
    <w:qFormat/>
    <w:uiPriority w:val="0"/>
    <w:rPr>
      <w:rFonts w:eastAsia="宋体"/>
      <w:sz w:val="24"/>
      <w:szCs w:val="24"/>
      <w:lang w:val="en-US" w:eastAsia="zh-CN" w:bidi="ar-SA"/>
    </w:rPr>
  </w:style>
  <w:style w:type="character" w:customStyle="1" w:styleId="317">
    <w:name w:val="正文文本缩进 Char1"/>
    <w:link w:val="318"/>
    <w:qFormat/>
    <w:uiPriority w:val="0"/>
    <w:rPr>
      <w:rFonts w:ascii="宋体" w:hAnsi="宋体" w:eastAsia="宋体"/>
      <w:sz w:val="24"/>
      <w:szCs w:val="24"/>
      <w:lang w:bidi="ar-SA"/>
    </w:rPr>
  </w:style>
  <w:style w:type="paragraph" w:customStyle="1" w:styleId="318">
    <w:name w:val="正文文本缩进1"/>
    <w:basedOn w:val="1"/>
    <w:link w:val="317"/>
    <w:qFormat/>
    <w:uiPriority w:val="0"/>
    <w:pPr>
      <w:spacing w:line="480" w:lineRule="exact"/>
      <w:ind w:firstLine="480"/>
    </w:pPr>
    <w:rPr>
      <w:rFonts w:ascii="宋体" w:hAnsi="宋体"/>
      <w:sz w:val="24"/>
    </w:rPr>
  </w:style>
  <w:style w:type="character" w:customStyle="1" w:styleId="319">
    <w:name w:val="正文重点 Char"/>
    <w:link w:val="320"/>
    <w:qFormat/>
    <w:uiPriority w:val="0"/>
    <w:rPr>
      <w:b/>
      <w:sz w:val="24"/>
    </w:rPr>
  </w:style>
  <w:style w:type="paragraph" w:customStyle="1" w:styleId="320">
    <w:name w:val="正文重点"/>
    <w:basedOn w:val="1"/>
    <w:link w:val="319"/>
    <w:qFormat/>
    <w:uiPriority w:val="0"/>
    <w:pPr>
      <w:spacing w:line="360" w:lineRule="auto"/>
      <w:ind w:firstLine="482"/>
      <w:jc w:val="left"/>
    </w:pPr>
    <w:rPr>
      <w:b/>
      <w:sz w:val="24"/>
      <w:szCs w:val="20"/>
    </w:rPr>
  </w:style>
  <w:style w:type="character" w:customStyle="1" w:styleId="321">
    <w:name w:val="标题 3 Char"/>
    <w:link w:val="1"/>
    <w:qFormat/>
    <w:uiPriority w:val="0"/>
    <w:rPr>
      <w:rFonts w:ascii="宋体" w:eastAsia="宋体"/>
      <w:b/>
      <w:sz w:val="24"/>
      <w:u w:val="single"/>
      <w:lang w:val="en-US" w:eastAsia="zh-CN" w:bidi="ar-SA"/>
    </w:rPr>
  </w:style>
  <w:style w:type="character" w:customStyle="1" w:styleId="322">
    <w:name w:val="Char Char111"/>
    <w:link w:val="1"/>
    <w:qFormat/>
    <w:uiPriority w:val="0"/>
    <w:rPr>
      <w:rFonts w:ascii="宋体" w:eastAsia="宋体"/>
      <w:b/>
      <w:sz w:val="24"/>
      <w:u w:val="single"/>
      <w:lang w:val="en-US" w:eastAsia="zh-CN" w:bidi="ar-SA"/>
    </w:rPr>
  </w:style>
  <w:style w:type="character" w:customStyle="1" w:styleId="323">
    <w:name w:val="bjh-p"/>
    <w:link w:val="1"/>
    <w:qFormat/>
    <w:uiPriority w:val="0"/>
  </w:style>
  <w:style w:type="paragraph" w:customStyle="1" w:styleId="32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6">
    <w:name w:val="图中文字"/>
    <w:basedOn w:val="1"/>
    <w:qFormat/>
    <w:uiPriority w:val="0"/>
    <w:pPr>
      <w:spacing w:line="0" w:lineRule="atLeast"/>
      <w:jc w:val="center"/>
    </w:pPr>
    <w:rPr>
      <w:sz w:val="24"/>
      <w:szCs w:val="20"/>
    </w:rPr>
  </w:style>
  <w:style w:type="paragraph" w:customStyle="1" w:styleId="327">
    <w:name w:val="1 Char Char Char Char"/>
    <w:basedOn w:val="1"/>
    <w:qFormat/>
    <w:uiPriority w:val="0"/>
    <w:rPr>
      <w:rFonts w:ascii="Tahoma" w:hAnsi="Tahoma"/>
      <w:sz w:val="24"/>
      <w:szCs w:val="20"/>
    </w:rPr>
  </w:style>
  <w:style w:type="paragraph" w:customStyle="1" w:styleId="328">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29">
    <w:name w:val="正文须知-2级"/>
    <w:basedOn w:val="1"/>
    <w:qFormat/>
    <w:uiPriority w:val="0"/>
    <w:pPr>
      <w:numPr>
        <w:ilvl w:val="1"/>
        <w:numId w:val="2"/>
      </w:numPr>
      <w:spacing w:line="300" w:lineRule="auto"/>
    </w:pPr>
    <w:rPr>
      <w:rFonts w:ascii="宋体" w:hAnsi="Calibri"/>
      <w:sz w:val="24"/>
      <w:szCs w:val="21"/>
    </w:rPr>
  </w:style>
  <w:style w:type="paragraph" w:customStyle="1" w:styleId="330">
    <w:name w:val="Char1 Char Char Char1"/>
    <w:basedOn w:val="1"/>
    <w:qFormat/>
    <w:uiPriority w:val="0"/>
    <w:rPr>
      <w:rFonts w:ascii="Tahoma" w:hAnsi="Tahoma" w:cs="仿宋_GB2312"/>
      <w:sz w:val="24"/>
      <w:szCs w:val="28"/>
    </w:rPr>
  </w:style>
  <w:style w:type="paragraph" w:customStyle="1" w:styleId="33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2">
    <w:name w:val="二级条标题"/>
    <w:basedOn w:val="33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33">
    <w:name w:val="一级条标题"/>
    <w:basedOn w:val="334"/>
    <w:next w:val="1"/>
    <w:qFormat/>
    <w:uiPriority w:val="0"/>
    <w:pPr>
      <w:numPr>
        <w:ilvl w:val="1"/>
      </w:numPr>
      <w:tabs>
        <w:tab w:val="left" w:pos="360"/>
        <w:tab w:val="left" w:pos="840"/>
      </w:tabs>
      <w:ind w:left="0" w:hanging="840"/>
      <w:outlineLvl w:val="1"/>
    </w:pPr>
  </w:style>
  <w:style w:type="paragraph" w:customStyle="1" w:styleId="334">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3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36">
    <w:name w:val="正文文本样式"/>
    <w:basedOn w:val="1"/>
    <w:qFormat/>
    <w:uiPriority w:val="0"/>
    <w:pPr>
      <w:spacing w:line="360" w:lineRule="auto"/>
      <w:ind w:firstLine="482"/>
    </w:pPr>
    <w:rPr>
      <w:rFonts w:cs="宋体"/>
      <w:sz w:val="24"/>
      <w:szCs w:val="20"/>
    </w:rPr>
  </w:style>
  <w:style w:type="paragraph" w:customStyle="1" w:styleId="337">
    <w:name w:val="Char2 Char Char Char Char Char Char"/>
    <w:basedOn w:val="1"/>
    <w:qFormat/>
    <w:uiPriority w:val="0"/>
    <w:pPr>
      <w:widowControl/>
      <w:spacing w:line="400" w:lineRule="exact"/>
      <w:jc w:val="center"/>
    </w:pPr>
  </w:style>
  <w:style w:type="paragraph" w:customStyle="1" w:styleId="33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9">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40">
    <w:name w:val="表格1"/>
    <w:basedOn w:val="1"/>
    <w:qFormat/>
    <w:uiPriority w:val="0"/>
    <w:pPr>
      <w:ind w:firstLine="480"/>
      <w:jc w:val="center"/>
    </w:pPr>
    <w:rPr>
      <w:sz w:val="24"/>
      <w:szCs w:val="20"/>
    </w:rPr>
  </w:style>
  <w:style w:type="paragraph" w:customStyle="1" w:styleId="341">
    <w:name w:val="纯文本1"/>
    <w:qFormat/>
    <w:uiPriority w:val="0"/>
    <w:pPr>
      <w:widowControl w:val="0"/>
      <w:jc w:val="both"/>
    </w:pPr>
    <w:rPr>
      <w:rFonts w:hint="default" w:ascii="宋体" w:hAnsi="宋体" w:eastAsia="宋体" w:cs="Times New Roman"/>
      <w:sz w:val="26"/>
      <w:lang w:val="en-US" w:eastAsia="zh-CN" w:bidi="ar-SA"/>
    </w:rPr>
  </w:style>
  <w:style w:type="paragraph" w:customStyle="1" w:styleId="342">
    <w:name w:val="xl23"/>
    <w:basedOn w:val="1"/>
    <w:qFormat/>
    <w:uiPriority w:val="0"/>
    <w:pPr>
      <w:widowControl/>
      <w:spacing w:before="100" w:beforeAutospacing="1" w:after="100" w:afterAutospacing="1" w:line="360" w:lineRule="auto"/>
    </w:pPr>
    <w:rPr>
      <w:sz w:val="24"/>
      <w:szCs w:val="20"/>
    </w:rPr>
  </w:style>
  <w:style w:type="paragraph" w:customStyle="1" w:styleId="343">
    <w:name w:val="项目符号1"/>
    <w:basedOn w:val="336"/>
    <w:qFormat/>
    <w:uiPriority w:val="0"/>
    <w:pPr>
      <w:ind w:left="-25" w:firstLine="0"/>
    </w:pPr>
  </w:style>
  <w:style w:type="paragraph" w:customStyle="1" w:styleId="344">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45">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46">
    <w:name w:val="图文"/>
    <w:basedOn w:val="1"/>
    <w:qFormat/>
    <w:uiPriority w:val="0"/>
    <w:pPr>
      <w:spacing w:after="50" w:line="360" w:lineRule="auto"/>
    </w:pPr>
    <w:rPr>
      <w:sz w:val="24"/>
    </w:rPr>
  </w:style>
  <w:style w:type="paragraph" w:customStyle="1" w:styleId="34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49">
    <w:name w:val="三级条标题"/>
    <w:basedOn w:val="332"/>
    <w:next w:val="1"/>
    <w:qFormat/>
    <w:uiPriority w:val="0"/>
    <w:pPr>
      <w:numPr>
        <w:ilvl w:val="3"/>
        <w:numId w:val="1"/>
      </w:numPr>
      <w:ind w:left="0" w:hanging="840"/>
      <w:outlineLvl w:val="3"/>
    </w:pPr>
  </w:style>
  <w:style w:type="paragraph" w:customStyle="1" w:styleId="350">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51">
    <w:name w:val="字元 字元1"/>
    <w:basedOn w:val="1"/>
    <w:qFormat/>
    <w:uiPriority w:val="0"/>
    <w:rPr>
      <w:rFonts w:ascii="Tahoma" w:hAnsi="Tahoma"/>
      <w:sz w:val="24"/>
      <w:szCs w:val="20"/>
    </w:rPr>
  </w:style>
  <w:style w:type="paragraph" w:customStyle="1" w:styleId="352">
    <w:name w:val="Char3"/>
    <w:basedOn w:val="1"/>
    <w:qFormat/>
    <w:uiPriority w:val="0"/>
    <w:pPr>
      <w:tabs>
        <w:tab w:val="left" w:pos="360"/>
      </w:tabs>
    </w:pPr>
    <w:rPr>
      <w:sz w:val="24"/>
    </w:rPr>
  </w:style>
  <w:style w:type="paragraph" w:customStyle="1" w:styleId="35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5">
    <w:name w:val="Table Paragraph"/>
    <w:basedOn w:val="1"/>
    <w:qFormat/>
    <w:uiPriority w:val="1"/>
    <w:pPr>
      <w:jc w:val="left"/>
    </w:pPr>
    <w:rPr>
      <w:rFonts w:ascii="宋体" w:hAnsi="宋体" w:cs="宋体"/>
      <w:sz w:val="22"/>
      <w:szCs w:val="22"/>
      <w:lang w:eastAsia="en-US"/>
    </w:rPr>
  </w:style>
  <w:style w:type="paragraph" w:customStyle="1" w:styleId="356">
    <w:name w:val="Char Char1"/>
    <w:basedOn w:val="216"/>
    <w:qFormat/>
    <w:uiPriority w:val="0"/>
    <w:rPr>
      <w:rFonts w:ascii="Tahoma" w:hAnsi="Tahoma"/>
      <w:sz w:val="24"/>
    </w:rPr>
  </w:style>
  <w:style w:type="paragraph" w:customStyle="1" w:styleId="35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58">
    <w:name w:val="Char22"/>
    <w:basedOn w:val="1"/>
    <w:qFormat/>
    <w:uiPriority w:val="0"/>
    <w:rPr>
      <w:rFonts w:ascii="Tahoma" w:hAnsi="Tahoma"/>
      <w:sz w:val="24"/>
      <w:szCs w:val="20"/>
    </w:rPr>
  </w:style>
  <w:style w:type="paragraph" w:customStyle="1" w:styleId="35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6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Char2 Char Char Char Char Char Char1"/>
    <w:basedOn w:val="1"/>
    <w:qFormat/>
    <w:uiPriority w:val="0"/>
    <w:pPr>
      <w:widowControl/>
      <w:spacing w:line="400" w:lineRule="exact"/>
      <w:jc w:val="center"/>
    </w:pPr>
  </w:style>
  <w:style w:type="paragraph" w:customStyle="1" w:styleId="362">
    <w:name w:val="Char Char Char Char Char Char Char Char Char Char1"/>
    <w:basedOn w:val="1"/>
    <w:qFormat/>
    <w:uiPriority w:val="0"/>
    <w:rPr>
      <w:rFonts w:ascii="宋体" w:hAnsi="宋体" w:cs="Courier New"/>
      <w:sz w:val="32"/>
      <w:szCs w:val="32"/>
    </w:rPr>
  </w:style>
  <w:style w:type="paragraph" w:customStyle="1" w:styleId="363">
    <w:name w:val="Char Char Char1 Char"/>
    <w:basedOn w:val="1"/>
    <w:qFormat/>
    <w:uiPriority w:val="0"/>
    <w:rPr>
      <w:rFonts w:ascii="Tahoma" w:hAnsi="Tahoma"/>
      <w:sz w:val="24"/>
      <w:szCs w:val="20"/>
    </w:rPr>
  </w:style>
  <w:style w:type="paragraph" w:customStyle="1" w:styleId="364">
    <w:name w:val="正文文本样式 加粗"/>
    <w:basedOn w:val="336"/>
    <w:qFormat/>
    <w:uiPriority w:val="0"/>
    <w:rPr>
      <w:b/>
    </w:rPr>
  </w:style>
  <w:style w:type="paragraph" w:customStyle="1" w:styleId="36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6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6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9">
    <w:name w:val="font8"/>
    <w:basedOn w:val="1"/>
    <w:qFormat/>
    <w:uiPriority w:val="0"/>
    <w:pPr>
      <w:widowControl/>
      <w:spacing w:before="100" w:beforeAutospacing="1" w:after="100" w:afterAutospacing="1"/>
      <w:jc w:val="left"/>
    </w:pPr>
    <w:rPr>
      <w:sz w:val="36"/>
      <w:szCs w:val="36"/>
    </w:rPr>
  </w:style>
  <w:style w:type="paragraph" w:customStyle="1" w:styleId="37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7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72">
    <w:name w:val="22222222222222"/>
    <w:basedOn w:val="1"/>
    <w:qFormat/>
    <w:uiPriority w:val="0"/>
    <w:pPr>
      <w:widowControl/>
      <w:spacing w:line="360" w:lineRule="auto"/>
      <w:ind w:firstLine="480"/>
      <w:jc w:val="left"/>
    </w:pPr>
    <w:rPr>
      <w:color w:val="FF0000"/>
      <w:sz w:val="24"/>
      <w:szCs w:val="20"/>
    </w:rPr>
  </w:style>
  <w:style w:type="paragraph" w:customStyle="1" w:styleId="373">
    <w:name w:val="四级条标题"/>
    <w:basedOn w:val="349"/>
    <w:next w:val="1"/>
    <w:qFormat/>
    <w:uiPriority w:val="0"/>
    <w:pPr>
      <w:numPr>
        <w:ilvl w:val="4"/>
      </w:numPr>
      <w:ind w:left="0" w:hanging="840"/>
      <w:outlineLvl w:val="4"/>
    </w:pPr>
  </w:style>
  <w:style w:type="paragraph" w:customStyle="1" w:styleId="374">
    <w:name w:val="项目编号2"/>
    <w:basedOn w:val="348"/>
    <w:qFormat/>
    <w:uiPriority w:val="0"/>
    <w:pPr>
      <w:numPr>
        <w:numId w:val="4"/>
      </w:numPr>
    </w:pPr>
  </w:style>
  <w:style w:type="paragraph" w:customStyle="1" w:styleId="375">
    <w:name w:val="Char"/>
    <w:basedOn w:val="1"/>
    <w:qFormat/>
    <w:uiPriority w:val="0"/>
    <w:pPr>
      <w:tabs>
        <w:tab w:val="left" w:pos="360"/>
      </w:tabs>
    </w:pPr>
    <w:rPr>
      <w:sz w:val="24"/>
    </w:rPr>
  </w:style>
  <w:style w:type="paragraph" w:customStyle="1" w:styleId="376">
    <w:name w:val="Char Char Char1 Char2"/>
    <w:basedOn w:val="1"/>
    <w:qFormat/>
    <w:uiPriority w:val="0"/>
    <w:rPr>
      <w:rFonts w:ascii="Tahoma" w:hAnsi="Tahoma"/>
      <w:sz w:val="24"/>
      <w:szCs w:val="20"/>
    </w:rPr>
  </w:style>
  <w:style w:type="paragraph" w:customStyle="1" w:styleId="377">
    <w:name w:val="Char1"/>
    <w:basedOn w:val="1"/>
    <w:qFormat/>
    <w:uiPriority w:val="0"/>
    <w:pPr>
      <w:tabs>
        <w:tab w:val="left" w:pos="360"/>
      </w:tabs>
    </w:pPr>
    <w:rPr>
      <w:sz w:val="24"/>
    </w:rPr>
  </w:style>
  <w:style w:type="paragraph" w:customStyle="1" w:styleId="378">
    <w:name w:val="Char Char Char Char Char Char Char"/>
    <w:basedOn w:val="1"/>
    <w:qFormat/>
    <w:uiPriority w:val="0"/>
    <w:pPr>
      <w:spacing w:line="360" w:lineRule="auto"/>
      <w:ind w:firstLine="200"/>
    </w:pPr>
    <w:rPr>
      <w:rFonts w:eastAsia="仿宋_GB2312"/>
      <w:sz w:val="24"/>
    </w:rPr>
  </w:style>
  <w:style w:type="paragraph" w:customStyle="1" w:styleId="37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80">
    <w:name w:val="Char Char Char2"/>
    <w:basedOn w:val="1"/>
    <w:qFormat/>
    <w:uiPriority w:val="0"/>
    <w:rPr>
      <w:rFonts w:ascii="Tahoma" w:hAnsi="Tahoma"/>
      <w:sz w:val="24"/>
      <w:szCs w:val="20"/>
    </w:rPr>
  </w:style>
  <w:style w:type="paragraph" w:customStyle="1" w:styleId="38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8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83">
    <w:name w:val="样式2"/>
    <w:basedOn w:val="254"/>
    <w:qFormat/>
    <w:uiPriority w:val="0"/>
    <w:pPr>
      <w:spacing w:line="360" w:lineRule="auto"/>
      <w:jc w:val="center"/>
    </w:pPr>
    <w:rPr>
      <w:sz w:val="24"/>
    </w:rPr>
  </w:style>
  <w:style w:type="paragraph" w:customStyle="1" w:styleId="384">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85">
    <w:name w:val="正文须知-1级"/>
    <w:basedOn w:val="1"/>
    <w:next w:val="1"/>
    <w:qFormat/>
    <w:uiPriority w:val="0"/>
    <w:pPr>
      <w:numPr>
        <w:ilvl w:val="0"/>
        <w:numId w:val="2"/>
      </w:numPr>
      <w:spacing w:line="300" w:lineRule="auto"/>
    </w:pPr>
    <w:rPr>
      <w:rFonts w:ascii="宋体" w:hAnsi="Calibri"/>
      <w:sz w:val="24"/>
      <w:szCs w:val="21"/>
    </w:rPr>
  </w:style>
  <w:style w:type="paragraph" w:customStyle="1" w:styleId="386">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8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88">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9">
    <w:name w:val="_Style 160"/>
    <w:qFormat/>
    <w:uiPriority w:val="0"/>
    <w:rPr>
      <w:rFonts w:hint="default" w:ascii="Times New Roman" w:hAnsi="Times New Roman" w:eastAsia="宋体" w:cs="Times New Roman"/>
      <w:sz w:val="21"/>
      <w:szCs w:val="24"/>
      <w:lang w:val="en-US" w:eastAsia="zh-CN" w:bidi="ar-SA"/>
    </w:rPr>
  </w:style>
  <w:style w:type="paragraph" w:customStyle="1" w:styleId="39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91">
    <w:name w:val="Revision"/>
    <w:qFormat/>
    <w:uiPriority w:val="0"/>
    <w:rPr>
      <w:rFonts w:hint="default" w:ascii="Times New Roman" w:hAnsi="Times New Roman" w:eastAsia="宋体" w:cs="Times New Roman"/>
      <w:sz w:val="21"/>
      <w:szCs w:val="24"/>
      <w:lang w:val="en-US" w:eastAsia="zh-CN" w:bidi="ar-SA"/>
    </w:rPr>
  </w:style>
  <w:style w:type="paragraph" w:customStyle="1" w:styleId="392">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3">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94">
    <w:name w:val="Char Char Char Char Char Char Char Char Char Char"/>
    <w:basedOn w:val="1"/>
    <w:qFormat/>
    <w:uiPriority w:val="0"/>
  </w:style>
  <w:style w:type="paragraph" w:customStyle="1" w:styleId="39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6">
    <w:name w:val="Char Char Char Char Char Char Char Char Char Char2"/>
    <w:basedOn w:val="1"/>
    <w:qFormat/>
    <w:uiPriority w:val="0"/>
    <w:rPr>
      <w:rFonts w:ascii="宋体" w:hAnsi="宋体" w:cs="Courier New"/>
      <w:sz w:val="32"/>
      <w:szCs w:val="32"/>
    </w:rPr>
  </w:style>
  <w:style w:type="paragraph" w:customStyle="1" w:styleId="397">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8">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399">
    <w:name w:val="缺省文本"/>
    <w:basedOn w:val="1"/>
    <w:qFormat/>
    <w:uiPriority w:val="0"/>
    <w:pPr>
      <w:jc w:val="left"/>
    </w:pPr>
    <w:rPr>
      <w:sz w:val="24"/>
    </w:rPr>
  </w:style>
  <w:style w:type="paragraph" w:customStyle="1" w:styleId="400">
    <w:name w:val="默认段落字体 Para Char Char Char Char"/>
    <w:basedOn w:val="1"/>
    <w:qFormat/>
    <w:uiPriority w:val="0"/>
    <w:rPr>
      <w:rFonts w:ascii="Arial" w:hAnsi="Arial" w:cs="Arial"/>
      <w:szCs w:val="21"/>
    </w:rPr>
  </w:style>
  <w:style w:type="paragraph" w:customStyle="1" w:styleId="401">
    <w:name w:val="列出段落2"/>
    <w:basedOn w:val="1"/>
    <w:qFormat/>
    <w:uiPriority w:val="0"/>
    <w:pPr>
      <w:ind w:firstLine="420"/>
    </w:pPr>
    <w:rPr>
      <w:rFonts w:ascii="Calibri" w:hAnsi="Calibri"/>
      <w:szCs w:val="22"/>
    </w:rPr>
  </w:style>
  <w:style w:type="paragraph" w:customStyle="1" w:styleId="402">
    <w:name w:val="Char Char Char1"/>
    <w:basedOn w:val="1"/>
    <w:qFormat/>
    <w:uiPriority w:val="0"/>
    <w:rPr>
      <w:rFonts w:ascii="Tahoma" w:hAnsi="Tahoma"/>
      <w:sz w:val="24"/>
      <w:szCs w:val="20"/>
    </w:rPr>
  </w:style>
  <w:style w:type="paragraph" w:customStyle="1" w:styleId="403">
    <w:name w:val="Char21"/>
    <w:basedOn w:val="1"/>
    <w:qFormat/>
    <w:uiPriority w:val="0"/>
    <w:rPr>
      <w:rFonts w:ascii="Tahoma" w:hAnsi="Tahoma"/>
      <w:sz w:val="24"/>
      <w:szCs w:val="20"/>
    </w:rPr>
  </w:style>
  <w:style w:type="paragraph" w:customStyle="1" w:styleId="404">
    <w:name w:val="五级条标题"/>
    <w:basedOn w:val="373"/>
    <w:next w:val="1"/>
    <w:qFormat/>
    <w:uiPriority w:val="0"/>
    <w:pPr>
      <w:numPr>
        <w:ilvl w:val="5"/>
      </w:numPr>
      <w:ind w:left="0" w:hanging="840"/>
      <w:outlineLvl w:val="5"/>
    </w:pPr>
  </w:style>
  <w:style w:type="paragraph" w:customStyle="1" w:styleId="405">
    <w:name w:val="正文 + 楷体_GB2312"/>
    <w:basedOn w:val="1"/>
    <w:qFormat/>
    <w:uiPriority w:val="0"/>
    <w:pPr>
      <w:widowControl/>
      <w:jc w:val="left"/>
    </w:pPr>
    <w:rPr>
      <w:rFonts w:ascii="楷体_GB2312" w:eastAsia="楷体_GB2312" w:cs="Arial"/>
      <w:sz w:val="24"/>
    </w:rPr>
  </w:style>
  <w:style w:type="paragraph" w:customStyle="1" w:styleId="4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8">
    <w:name w:val="字元 字元2"/>
    <w:basedOn w:val="1"/>
    <w:qFormat/>
    <w:uiPriority w:val="0"/>
    <w:rPr>
      <w:rFonts w:ascii="Tahoma" w:hAnsi="Tahoma"/>
      <w:sz w:val="24"/>
      <w:szCs w:val="20"/>
    </w:rPr>
  </w:style>
  <w:style w:type="paragraph" w:customStyle="1" w:styleId="409">
    <w:name w:val="样式 宋体 五号 行距: 单倍行距"/>
    <w:basedOn w:val="1"/>
    <w:qFormat/>
    <w:uiPriority w:val="0"/>
    <w:pPr>
      <w:jc w:val="left"/>
    </w:pPr>
    <w:rPr>
      <w:rFonts w:ascii="宋体" w:hAnsi="宋体"/>
      <w:szCs w:val="20"/>
    </w:rPr>
  </w:style>
  <w:style w:type="paragraph" w:customStyle="1" w:styleId="410">
    <w:name w:val="列出段落1"/>
    <w:basedOn w:val="273"/>
    <w:qFormat/>
    <w:uiPriority w:val="0"/>
    <w:pPr>
      <w:ind w:firstLine="420"/>
    </w:pPr>
    <w:rPr>
      <w:rFonts w:ascii="Calibri" w:hAnsi="Calibri"/>
      <w:szCs w:val="22"/>
    </w:rPr>
  </w:style>
  <w:style w:type="paragraph" w:customStyle="1" w:styleId="411">
    <w:name w:val="Char2"/>
    <w:basedOn w:val="1"/>
    <w:qFormat/>
    <w:uiPriority w:val="0"/>
    <w:rPr>
      <w:rFonts w:ascii="Tahoma" w:hAnsi="Tahoma"/>
      <w:sz w:val="24"/>
      <w:szCs w:val="20"/>
    </w:rPr>
  </w:style>
  <w:style w:type="paragraph" w:customStyle="1" w:styleId="412">
    <w:name w:val="字元 字元"/>
    <w:basedOn w:val="1"/>
    <w:qFormat/>
    <w:uiPriority w:val="0"/>
    <w:rPr>
      <w:rFonts w:ascii="Tahoma" w:hAnsi="Tahoma"/>
      <w:sz w:val="24"/>
      <w:szCs w:val="20"/>
    </w:rPr>
  </w:style>
  <w:style w:type="paragraph" w:customStyle="1" w:styleId="413">
    <w:name w:val="文档正文"/>
    <w:basedOn w:val="1"/>
    <w:qFormat/>
    <w:uiPriority w:val="0"/>
    <w:pPr>
      <w:spacing w:before="120" w:after="120" w:line="180" w:lineRule="auto"/>
    </w:pPr>
    <w:rPr>
      <w:rFonts w:ascii="Arial" w:hAnsi="Arial"/>
      <w:szCs w:val="20"/>
    </w:rPr>
  </w:style>
  <w:style w:type="paragraph" w:customStyle="1" w:styleId="414">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5">
    <w:name w:val="Char3 Char Char Char1"/>
    <w:basedOn w:val="1"/>
    <w:qFormat/>
    <w:uiPriority w:val="0"/>
    <w:rPr>
      <w:rFonts w:ascii="Tahoma" w:hAnsi="Tahoma"/>
      <w:sz w:val="24"/>
      <w:szCs w:val="20"/>
    </w:rPr>
  </w:style>
  <w:style w:type="paragraph" w:customStyle="1" w:styleId="416">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17">
    <w:name w:val="图例"/>
    <w:basedOn w:val="1"/>
    <w:qFormat/>
    <w:uiPriority w:val="0"/>
    <w:pPr>
      <w:spacing w:before="120" w:after="120" w:line="360" w:lineRule="auto"/>
      <w:jc w:val="center"/>
    </w:pPr>
    <w:rPr>
      <w:rFonts w:eastAsia="仿宋_GB2312"/>
      <w:b/>
      <w:sz w:val="24"/>
      <w:szCs w:val="20"/>
    </w:rPr>
  </w:style>
  <w:style w:type="paragraph" w:customStyle="1" w:styleId="41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9">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0">
    <w:name w:val="项目编号3"/>
    <w:basedOn w:val="336"/>
    <w:qFormat/>
    <w:uiPriority w:val="0"/>
    <w:pPr>
      <w:numPr>
        <w:ilvl w:val="0"/>
        <w:numId w:val="5"/>
      </w:numPr>
    </w:pPr>
  </w:style>
  <w:style w:type="paragraph" w:customStyle="1" w:styleId="421">
    <w:name w:val="样式 标题 2 + 宋体 五号 行距: 单倍行距"/>
    <w:basedOn w:val="192"/>
    <w:qFormat/>
    <w:uiPriority w:val="0"/>
    <w:pPr>
      <w:numPr>
        <w:ilvl w:val="1"/>
        <w:numId w:val="6"/>
      </w:numPr>
      <w:spacing w:before="260" w:after="260" w:line="240" w:lineRule="auto"/>
      <w:jc w:val="left"/>
    </w:pPr>
    <w:rPr>
      <w:rFonts w:ascii="宋体" w:hAnsi="宋体" w:eastAsia="宋体"/>
      <w:bCs/>
      <w:sz w:val="21"/>
    </w:rPr>
  </w:style>
  <w:style w:type="paragraph" w:customStyle="1" w:styleId="422">
    <w:name w:val="Char Char Char1 Char1"/>
    <w:basedOn w:val="1"/>
    <w:qFormat/>
    <w:uiPriority w:val="0"/>
    <w:rPr>
      <w:rFonts w:ascii="Tahoma" w:hAnsi="Tahoma"/>
      <w:sz w:val="24"/>
      <w:szCs w:val="20"/>
    </w:rPr>
  </w:style>
  <w:style w:type="paragraph" w:customStyle="1" w:styleId="423">
    <w:name w:val="1名"/>
    <w:basedOn w:val="1"/>
    <w:qFormat/>
    <w:uiPriority w:val="0"/>
    <w:pPr>
      <w:numPr>
        <w:ilvl w:val="0"/>
        <w:numId w:val="7"/>
      </w:numPr>
      <w:spacing w:before="120"/>
    </w:pPr>
    <w:rPr>
      <w:rFonts w:ascii="宋体"/>
      <w:sz w:val="28"/>
      <w:szCs w:val="20"/>
    </w:rPr>
  </w:style>
  <w:style w:type="paragraph" w:customStyle="1" w:styleId="424">
    <w:name w:val="Default_0"/>
    <w:basedOn w:val="1"/>
    <w:qFormat/>
    <w:uiPriority w:val="0"/>
    <w:pPr>
      <w:keepNext w:val="0"/>
      <w:keepLines w:val="0"/>
      <w:widowControl w:val="0"/>
      <w:suppressLineNumbers w:val="0"/>
      <w:spacing w:before="0" w:beforeAutospacing="0" w:after="0" w:afterAutospacing="0"/>
      <w:ind w:left="0" w:right="0"/>
      <w:jc w:val="left"/>
    </w:pPr>
    <w:rPr>
      <w:rFonts w:hint="eastAsia" w:ascii="宋体" w:hAnsi="Times New Roman" w:eastAsia="宋体" w:cs="Times New Roman"/>
      <w:color w:val="000000"/>
      <w:sz w:val="24"/>
      <w:szCs w:val="24"/>
      <w:lang w:val="en-US" w:eastAsia="zh-CN" w:bidi="ar"/>
    </w:rPr>
  </w:style>
  <w:style w:type="paragraph" w:customStyle="1" w:styleId="425">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26">
    <w:name w:val="Char Char Char Char Char Char Char2"/>
    <w:basedOn w:val="1"/>
    <w:qFormat/>
    <w:uiPriority w:val="0"/>
    <w:pPr>
      <w:spacing w:line="360" w:lineRule="auto"/>
      <w:ind w:firstLine="200"/>
    </w:pPr>
    <w:rPr>
      <w:rFonts w:eastAsia="仿宋_GB2312"/>
      <w:sz w:val="24"/>
    </w:rPr>
  </w:style>
  <w:style w:type="paragraph" w:customStyle="1" w:styleId="427">
    <w:name w:val="Char3 Char Char Char"/>
    <w:basedOn w:val="1"/>
    <w:qFormat/>
    <w:uiPriority w:val="0"/>
    <w:rPr>
      <w:rFonts w:ascii="Tahoma" w:hAnsi="Tahoma"/>
      <w:sz w:val="24"/>
      <w:szCs w:val="20"/>
    </w:rPr>
  </w:style>
  <w:style w:type="paragraph" w:customStyle="1" w:styleId="42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9">
    <w:name w:val="List Paragraph1"/>
    <w:basedOn w:val="1"/>
    <w:qFormat/>
    <w:uiPriority w:val="0"/>
    <w:pPr>
      <w:ind w:firstLine="420"/>
    </w:pPr>
    <w:rPr>
      <w:rFonts w:ascii="Calibri" w:hAnsi="Calibri"/>
      <w:szCs w:val="22"/>
    </w:rPr>
  </w:style>
  <w:style w:type="paragraph" w:customStyle="1" w:styleId="430">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3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32">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433">
    <w:name w:val="Char3 Char Char Char2"/>
    <w:basedOn w:val="1"/>
    <w:qFormat/>
    <w:uiPriority w:val="0"/>
    <w:rPr>
      <w:rFonts w:ascii="Tahoma" w:hAnsi="Tahoma"/>
      <w:sz w:val="24"/>
      <w:szCs w:val="20"/>
    </w:rPr>
  </w:style>
  <w:style w:type="paragraph" w:customStyle="1" w:styleId="43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3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36">
    <w:name w:val="正文须知-3级"/>
    <w:basedOn w:val="1"/>
    <w:qFormat/>
    <w:uiPriority w:val="0"/>
    <w:pPr>
      <w:numPr>
        <w:ilvl w:val="2"/>
        <w:numId w:val="2"/>
      </w:numPr>
      <w:spacing w:line="300" w:lineRule="auto"/>
      <w:ind w:hanging="355"/>
    </w:pPr>
    <w:rPr>
      <w:rFonts w:ascii="宋体" w:hAnsi="Calibri"/>
      <w:sz w:val="24"/>
      <w:szCs w:val="21"/>
    </w:rPr>
  </w:style>
  <w:style w:type="paragraph" w:customStyle="1" w:styleId="43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38">
    <w:name w:val="Char Char Char Char Char Char Char1"/>
    <w:basedOn w:val="1"/>
    <w:qFormat/>
    <w:uiPriority w:val="0"/>
    <w:pPr>
      <w:spacing w:line="360" w:lineRule="auto"/>
      <w:ind w:firstLine="200"/>
    </w:pPr>
    <w:rPr>
      <w:rFonts w:eastAsia="仿宋_GB2312"/>
      <w:sz w:val="24"/>
    </w:rPr>
  </w:style>
  <w:style w:type="paragraph" w:customStyle="1" w:styleId="439">
    <w:name w:val="Char Char41"/>
    <w:basedOn w:val="1"/>
    <w:qFormat/>
    <w:uiPriority w:val="0"/>
    <w:pPr>
      <w:widowControl/>
      <w:spacing w:line="400" w:lineRule="exact"/>
      <w:jc w:val="center"/>
    </w:pPr>
  </w:style>
  <w:style w:type="paragraph" w:customStyle="1" w:styleId="440">
    <w:name w:val="Char Char4"/>
    <w:basedOn w:val="1"/>
    <w:qFormat/>
    <w:uiPriority w:val="0"/>
    <w:pPr>
      <w:widowControl/>
      <w:spacing w:line="400" w:lineRule="exact"/>
      <w:jc w:val="center"/>
    </w:pPr>
  </w:style>
  <w:style w:type="paragraph" w:customStyle="1" w:styleId="441">
    <w:name w:val="一、"/>
    <w:basedOn w:val="1"/>
    <w:qFormat/>
    <w:uiPriority w:val="0"/>
    <w:pPr>
      <w:ind w:firstLine="640"/>
    </w:pPr>
    <w:rPr>
      <w:rFonts w:ascii="黑体" w:hAnsi="黑体" w:eastAsia="黑体"/>
      <w:szCs w:val="32"/>
    </w:rPr>
  </w:style>
  <w:style w:type="paragraph" w:customStyle="1" w:styleId="442">
    <w:name w:val="标题1-附件"/>
    <w:basedOn w:val="191"/>
    <w:qFormat/>
    <w:uiPriority w:val="0"/>
    <w:pPr>
      <w:jc w:val="left"/>
    </w:pPr>
    <w:rPr>
      <w:sz w:val="24"/>
      <w:szCs w:val="24"/>
    </w:rPr>
  </w:style>
  <w:style w:type="paragraph" w:customStyle="1" w:styleId="443">
    <w:name w:val="表格文字"/>
    <w:basedOn w:val="224"/>
    <w:qFormat/>
    <w:uiPriority w:val="0"/>
    <w:pPr>
      <w:spacing w:before="20" w:after="20" w:line="240" w:lineRule="auto"/>
      <w:ind w:firstLine="0"/>
    </w:pPr>
    <w:rPr>
      <w:rFonts w:ascii="Century Gothic" w:hAnsi="Century Gothic"/>
      <w:sz w:val="20"/>
      <w:szCs w:val="20"/>
    </w:rPr>
  </w:style>
  <w:style w:type="paragraph" w:customStyle="1" w:styleId="444">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5">
    <w:name w:val="Char Char Char"/>
    <w:basedOn w:val="1"/>
    <w:qFormat/>
    <w:uiPriority w:val="0"/>
    <w:rPr>
      <w:rFonts w:ascii="Tahoma" w:hAnsi="Tahoma"/>
      <w:sz w:val="24"/>
      <w:szCs w:val="20"/>
    </w:rPr>
  </w:style>
  <w:style w:type="paragraph" w:customStyle="1" w:styleId="446">
    <w:name w:val="default"/>
    <w:basedOn w:val="1"/>
    <w:qFormat/>
    <w:uiPriority w:val="0"/>
    <w:pPr>
      <w:widowControl/>
      <w:spacing w:before="100" w:beforeAutospacing="1" w:after="100" w:afterAutospacing="1"/>
      <w:jc w:val="left"/>
    </w:pPr>
    <w:rPr>
      <w:rFonts w:ascii="宋体" w:hAnsi="宋体" w:cs="宋体"/>
      <w:sz w:val="24"/>
    </w:rPr>
  </w:style>
  <w:style w:type="paragraph" w:styleId="447">
    <w:name w:val="List Paragraph"/>
    <w:basedOn w:val="1"/>
    <w:qFormat/>
    <w:uiPriority w:val="0"/>
    <w:pPr>
      <w:ind w:firstLine="420"/>
    </w:pPr>
    <w:rPr>
      <w:rFonts w:ascii="Calibri" w:hAnsi="Calibri" w:cs="黑体"/>
      <w:szCs w:val="22"/>
    </w:rPr>
  </w:style>
  <w:style w:type="paragraph" w:customStyle="1" w:styleId="448">
    <w:name w:val="正文文本缩进2"/>
    <w:basedOn w:val="1"/>
    <w:qFormat/>
    <w:uiPriority w:val="0"/>
    <w:pPr>
      <w:spacing w:line="480" w:lineRule="exact"/>
      <w:ind w:firstLine="480"/>
    </w:pPr>
    <w:rPr>
      <w:rFonts w:ascii="宋体" w:hAnsi="宋体"/>
      <w:sz w:val="24"/>
      <w:lang w:val="zh-CN" w:eastAsia="zh-CN"/>
    </w:rPr>
  </w:style>
  <w:style w:type="paragraph" w:customStyle="1" w:styleId="449">
    <w:name w:val="正文_1_0"/>
    <w:basedOn w:val="1"/>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sz w:val="21"/>
      <w:szCs w:val="21"/>
      <w:lang w:val="en-US" w:eastAsia="zh-CN" w:bidi="ar"/>
    </w:rPr>
  </w:style>
  <w:style w:type="table" w:customStyle="1" w:styleId="450">
    <w:name w:val="Table Normal"/>
    <w:semiHidden/>
    <w:qFormat/>
    <w:uiPriority w:val="2"/>
    <w:pPr>
      <w:widowControl w:val="0"/>
    </w:pPr>
    <w:rPr>
      <w:rFonts w:ascii="Calibri" w:hAnsi="Calibri"/>
      <w:sz w:val="22"/>
      <w:szCs w:val="22"/>
      <w:lang w:val="en-US" w:eastAsia="en-US" w:bidi="ar-SA"/>
    </w:rPr>
  </w:style>
  <w:style w:type="paragraph" w:customStyle="1" w:styleId="451">
    <w:name w:val="null3"/>
    <w:qFormat/>
    <w:uiPriority w:val="0"/>
    <w:rPr>
      <w:rFonts w:hint="eastAsia" w:ascii="Calibri" w:hAnsi="Calibri" w:eastAsia="宋体" w:cs="Times New Roman"/>
      <w:lang w:val="en-US" w:eastAsia="zh-CN" w:bidi="ar-SA"/>
    </w:rPr>
  </w:style>
  <w:style w:type="paragraph" w:customStyle="1" w:styleId="452">
    <w:name w:val="Table Text"/>
    <w:basedOn w:val="1"/>
    <w:qFormat/>
    <w:uiPriority w:val="0"/>
    <w:pPr>
      <w:keepNext w:val="0"/>
      <w:keepLines w:val="0"/>
      <w:widowControl w:val="0"/>
      <w:suppressLineNumbers w:val="0"/>
      <w:spacing w:before="0" w:beforeAutospacing="0" w:after="0" w:afterAutospacing="0" w:line="240" w:lineRule="auto"/>
      <w:ind w:left="0" w:firstLine="0"/>
      <w:jc w:val="both"/>
    </w:pPr>
    <w:rPr>
      <w:rFonts w:ascii="微软雅黑" w:hAnsi="微软雅黑" w:eastAsia="微软雅黑" w:cs="微软雅黑"/>
      <w:kern w:val="2"/>
      <w:sz w:val="20"/>
      <w:szCs w:val="20"/>
      <w:lang w:val="en-US" w:eastAsia="zh-CN" w:bidi="ar"/>
    </w:rPr>
  </w:style>
  <w:style w:type="character" w:customStyle="1" w:styleId="453">
    <w:name w:val="NormalCharacter"/>
    <w:qFormat/>
    <w:uiPriority w:val="0"/>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67</Pages>
  <Words>18454</Words>
  <Characters>19220</Characters>
  <TotalTime>1</TotalTime>
  <ScaleCrop>false</ScaleCrop>
  <LinksUpToDate>false</LinksUpToDate>
  <CharactersWithSpaces>19515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XU</cp:lastModifiedBy>
  <cp:lastPrinted>2025-02-14T05:02:00Z</cp:lastPrinted>
  <dcterms:modified xsi:type="dcterms:W3CDTF">2026-05-28T02:14:01Z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763559E4711E44208FA25BEAC7B7A4F0_12</vt:lpwstr>
  </property>
  <property fmtid="{D5CDD505-2E9C-101B-9397-08002B2CF9AE}" pid="4" name="KSOTemplateDocerSaveRecord">
    <vt:lpwstr>eyJoZGlkIjoiZDI2OTIxZjNiZjQyM2RhZGE1NjdmY2MxYTljZDAzODciLCJ1c2VySWQiOiIxNDk3NzQ3NTk5In0=</vt:lpwstr>
  </property>
</Properties>
</file>